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0679" w14:textId="315EE84D" w:rsidR="00156EA4" w:rsidRDefault="005D2683">
      <w:pPr>
        <w:rPr>
          <w:sz w:val="28"/>
          <w:szCs w:val="28"/>
        </w:rPr>
      </w:pPr>
      <w:r w:rsidRPr="005D2683">
        <w:rPr>
          <w:sz w:val="28"/>
          <w:szCs w:val="28"/>
        </w:rPr>
        <w:t>Earth Day 2020 – Carl Howard presentation</w:t>
      </w:r>
    </w:p>
    <w:p w14:paraId="2102994E" w14:textId="021A3D72" w:rsidR="005D2683" w:rsidRDefault="005D2683">
      <w:pPr>
        <w:rPr>
          <w:sz w:val="28"/>
          <w:szCs w:val="28"/>
        </w:rPr>
      </w:pPr>
      <w:r>
        <w:rPr>
          <w:sz w:val="28"/>
          <w:szCs w:val="28"/>
        </w:rPr>
        <w:t>Essential reading: IPCC Reports</w:t>
      </w:r>
    </w:p>
    <w:p w14:paraId="43B3DD6F" w14:textId="041AFE50" w:rsidR="005D2683" w:rsidRPr="005D2683" w:rsidRDefault="005D2683">
      <w:pPr>
        <w:rPr>
          <w:sz w:val="28"/>
          <w:szCs w:val="28"/>
        </w:rPr>
      </w:pPr>
      <w:r>
        <w:rPr>
          <w:sz w:val="28"/>
          <w:szCs w:val="28"/>
        </w:rPr>
        <w:t>To find it on line (free):</w:t>
      </w:r>
    </w:p>
    <w:p w14:paraId="5DBD5748" w14:textId="55F31911" w:rsidR="00123ED3" w:rsidRDefault="005D0466">
      <w:pPr>
        <w:rPr>
          <w:sz w:val="28"/>
          <w:szCs w:val="28"/>
        </w:rPr>
      </w:pPr>
      <w:r>
        <w:rPr>
          <w:sz w:val="28"/>
          <w:szCs w:val="28"/>
        </w:rPr>
        <w:t xml:space="preserve">Google: </w:t>
      </w:r>
      <w:r w:rsidR="00A71C37" w:rsidRPr="00A71C37">
        <w:rPr>
          <w:sz w:val="28"/>
          <w:szCs w:val="28"/>
        </w:rPr>
        <w:t>Summary - IPCC Fifth Assessment Synthesis Report</w:t>
      </w:r>
    </w:p>
    <w:p w14:paraId="45437BBE" w14:textId="2C6ABA91" w:rsidR="00123ED3" w:rsidRDefault="005D2683">
      <w:pPr>
        <w:rPr>
          <w:sz w:val="28"/>
          <w:szCs w:val="28"/>
        </w:rPr>
      </w:pPr>
      <w:r>
        <w:rPr>
          <w:sz w:val="28"/>
          <w:szCs w:val="28"/>
        </w:rPr>
        <w:t xml:space="preserve">Here is the website: </w:t>
      </w:r>
      <w:hyperlink r:id="rId8" w:history="1">
        <w:r w:rsidRPr="009A762B">
          <w:rPr>
            <w:rStyle w:val="Hyperlink"/>
            <w:sz w:val="28"/>
            <w:szCs w:val="28"/>
          </w:rPr>
          <w:t>https://ar5-syr.ipcc.ch/topic_summary.php</w:t>
        </w:r>
      </w:hyperlink>
    </w:p>
    <w:p w14:paraId="199EB53A" w14:textId="6116A702" w:rsidR="005D2683" w:rsidRDefault="005D2683">
      <w:pPr>
        <w:rPr>
          <w:sz w:val="28"/>
          <w:szCs w:val="28"/>
        </w:rPr>
      </w:pPr>
      <w:r>
        <w:rPr>
          <w:sz w:val="28"/>
          <w:szCs w:val="28"/>
        </w:rPr>
        <w:t>There are numerous reports. Start with the Executive Summary, written for lay-persons.</w:t>
      </w:r>
    </w:p>
    <w:p w14:paraId="3D11DD08" w14:textId="77777777" w:rsidR="00C90A2A" w:rsidRPr="00A71C37" w:rsidRDefault="00C90A2A">
      <w:pPr>
        <w:rPr>
          <w:sz w:val="28"/>
          <w:szCs w:val="28"/>
        </w:rPr>
      </w:pPr>
    </w:p>
    <w:p w14:paraId="64A3B325" w14:textId="62F53523" w:rsidR="00123ED3" w:rsidRPr="00C90A2A" w:rsidRDefault="00C90A2A" w:rsidP="00123ED3">
      <w:pPr>
        <w:spacing w:after="0" w:line="240" w:lineRule="auto"/>
        <w:jc w:val="center"/>
        <w:rPr>
          <w:rFonts w:ascii="Arial" w:eastAsia="Times New Roman" w:hAnsi="Arial" w:cs="Arial"/>
          <w:color w:val="000000"/>
          <w:sz w:val="40"/>
          <w:szCs w:val="40"/>
        </w:rPr>
      </w:pPr>
      <w:r w:rsidRPr="00C90A2A">
        <w:rPr>
          <w:sz w:val="40"/>
          <w:szCs w:val="40"/>
        </w:rPr>
        <w:t>Summary for Policymakers [SPM]</w:t>
      </w:r>
      <w:hyperlink r:id="rId9" w:anchor="share-me" w:history="1">
        <w:r w:rsidR="00123ED3" w:rsidRPr="00C90A2A">
          <w:rPr>
            <w:rFonts w:ascii="Source Sans Pro" w:eastAsia="Times New Roman" w:hAnsi="Source Sans Pro" w:cs="Arial"/>
            <w:caps/>
            <w:color w:val="FFFFFF"/>
            <w:spacing w:val="15"/>
            <w:sz w:val="40"/>
            <w:szCs w:val="40"/>
            <w:u w:val="single"/>
          </w:rPr>
          <w:t>S</w:t>
        </w:r>
        <w:r w:rsidR="00123ED3" w:rsidRPr="00C90A2A">
          <w:rPr>
            <w:rFonts w:ascii="Source Sans Pro" w:eastAsia="Times New Roman" w:hAnsi="Source Sans Pro" w:cs="Arial"/>
            <w:caps/>
            <w:color w:val="FFFFFF"/>
            <w:spacing w:val="15"/>
            <w:sz w:val="40"/>
            <w:szCs w:val="40"/>
            <w:u w:val="single"/>
          </w:rPr>
          <w:t>HARE</w:t>
        </w:r>
      </w:hyperlink>
    </w:p>
    <w:p w14:paraId="3E370DBB" w14:textId="77777777" w:rsidR="00C90A2A" w:rsidRDefault="00C90A2A" w:rsidP="00123ED3">
      <w:pPr>
        <w:spacing w:after="300" w:line="420" w:lineRule="atLeast"/>
        <w:jc w:val="both"/>
        <w:rPr>
          <w:rFonts w:ascii="Source Sans Pro" w:eastAsia="Times New Roman" w:hAnsi="Source Sans Pro" w:cs="Arial"/>
          <w:color w:val="284A58"/>
          <w:sz w:val="27"/>
          <w:szCs w:val="27"/>
        </w:rPr>
      </w:pPr>
    </w:p>
    <w:p w14:paraId="771C6DC7" w14:textId="2F8FE453" w:rsidR="00123ED3" w:rsidRPr="00123ED3" w:rsidRDefault="00123ED3" w:rsidP="00123ED3">
      <w:pPr>
        <w:spacing w:after="300" w:line="420" w:lineRule="atLeast"/>
        <w:jc w:val="both"/>
        <w:rPr>
          <w:rFonts w:ascii="Source Sans Pro" w:eastAsia="Times New Roman" w:hAnsi="Source Sans Pro" w:cs="Arial"/>
          <w:color w:val="284A58"/>
          <w:sz w:val="27"/>
          <w:szCs w:val="27"/>
        </w:rPr>
      </w:pPr>
      <w:r w:rsidRPr="00123ED3">
        <w:rPr>
          <w:rFonts w:ascii="Source Sans Pro" w:eastAsia="Times New Roman" w:hAnsi="Source Sans Pro" w:cs="Arial"/>
          <w:color w:val="284A58"/>
          <w:sz w:val="27"/>
          <w:szCs w:val="27"/>
        </w:rPr>
        <w:t>This Synthesis Report is based on the reports of the three Working Groups of the Intergovernmental Panel on Climate Change (IPCC), including relevant Special Reports. It provides an integrated view of climate change as the final part of the IPCC’s Fifth Assessment Report (AR5).</w:t>
      </w:r>
    </w:p>
    <w:p w14:paraId="52FAD81D" w14:textId="076F563F" w:rsidR="00BF3D75" w:rsidRDefault="00BF3D75" w:rsidP="00BF3D75">
      <w:pPr>
        <w:spacing w:after="450" w:line="630" w:lineRule="atLeast"/>
        <w:jc w:val="center"/>
        <w:outlineLvl w:val="1"/>
        <w:rPr>
          <w:rFonts w:ascii="Source Sans Pro" w:eastAsia="Times New Roman" w:hAnsi="Source Sans Pro" w:cs="Times New Roman"/>
          <w:b/>
          <w:bCs/>
          <w:color w:val="4C8FCC"/>
          <w:sz w:val="40"/>
          <w:szCs w:val="40"/>
        </w:rPr>
      </w:pPr>
      <w:r w:rsidRPr="00BF3D75">
        <w:rPr>
          <w:rFonts w:ascii="Source Sans Pro" w:eastAsia="Times New Roman" w:hAnsi="Source Sans Pro" w:cs="Times New Roman"/>
          <w:b/>
          <w:bCs/>
          <w:color w:val="4C8FCC"/>
          <w:sz w:val="40"/>
          <w:szCs w:val="40"/>
        </w:rPr>
        <w:t>SPM.1. Observed Changes and their Causes</w:t>
      </w:r>
    </w:p>
    <w:p w14:paraId="3EC7AACE" w14:textId="469F5259" w:rsidR="005D0466" w:rsidRPr="005D0466" w:rsidRDefault="005D0466" w:rsidP="005D0466">
      <w:pPr>
        <w:spacing w:after="450" w:line="630" w:lineRule="atLeast"/>
        <w:outlineLvl w:val="1"/>
        <w:rPr>
          <w:rFonts w:ascii="Source Sans Pro" w:eastAsia="Times New Roman" w:hAnsi="Source Sans Pro" w:cs="Times New Roman"/>
          <w:color w:val="4C8FCC"/>
          <w:sz w:val="30"/>
          <w:szCs w:val="30"/>
        </w:rPr>
      </w:pPr>
      <w:r w:rsidRPr="005D0466">
        <w:rPr>
          <w:rFonts w:ascii="Source Sans Pro" w:eastAsia="Times New Roman" w:hAnsi="Source Sans Pro" w:cs="Times New Roman"/>
          <w:color w:val="4C8FCC"/>
          <w:sz w:val="32"/>
          <w:szCs w:val="32"/>
        </w:rPr>
        <w:t>[presented qualitatively, stated with varying degrees of confidence, high/med/low, or as a straight-out fact. Unusual for a scientist.]</w:t>
      </w:r>
    </w:p>
    <w:p w14:paraId="7C41C07A" w14:textId="1F308730" w:rsidR="00BF3D75" w:rsidRPr="00BF3D75" w:rsidRDefault="00C90A2A" w:rsidP="00BF3D75">
      <w:pPr>
        <w:spacing w:after="300" w:line="510" w:lineRule="atLeast"/>
        <w:jc w:val="center"/>
        <w:rPr>
          <w:rFonts w:ascii="Source Sans Pro" w:eastAsia="Times New Roman" w:hAnsi="Source Sans Pro" w:cs="Times New Roman"/>
          <w:b/>
          <w:bCs/>
          <w:color w:val="4C8FCC"/>
          <w:sz w:val="30"/>
          <w:szCs w:val="30"/>
        </w:rPr>
      </w:pPr>
      <w:r>
        <w:rPr>
          <w:rFonts w:ascii="Source Sans Pro" w:eastAsia="Times New Roman" w:hAnsi="Source Sans Pro" w:cs="Times New Roman"/>
          <w:b/>
          <w:bCs/>
          <w:color w:val="4C8FCC"/>
          <w:sz w:val="30"/>
          <w:szCs w:val="30"/>
        </w:rPr>
        <w:t>“</w:t>
      </w:r>
      <w:r w:rsidR="00BF3D75" w:rsidRPr="00BF3D75">
        <w:rPr>
          <w:rFonts w:ascii="Source Sans Pro" w:eastAsia="Times New Roman" w:hAnsi="Source Sans Pro" w:cs="Times New Roman"/>
          <w:b/>
          <w:bCs/>
          <w:color w:val="4C8FCC"/>
          <w:sz w:val="30"/>
          <w:szCs w:val="30"/>
        </w:rPr>
        <w:t>Human influence on the climate system is clear, and recent anthropogenic emissions of greenhouse gases are the highest in history. Recent climate changes have had widespread impacts on human and natural systems.</w:t>
      </w:r>
      <w:r w:rsidR="00BF3D75" w:rsidRPr="00BF3D75">
        <w:rPr>
          <w:rFonts w:ascii="Source Sans Pro" w:eastAsia="Times New Roman" w:hAnsi="Source Sans Pro" w:cs="Times New Roman"/>
          <w:b/>
          <w:bCs/>
          <w:i/>
          <w:iCs/>
          <w:color w:val="4C8FCC"/>
          <w:sz w:val="30"/>
          <w:szCs w:val="30"/>
        </w:rPr>
        <w:t> {</w:t>
      </w:r>
      <w:hyperlink r:id="rId10" w:history="1">
        <w:r w:rsidR="00BF3D75" w:rsidRPr="00BF3D75">
          <w:rPr>
            <w:rFonts w:ascii="Source Sans Pro" w:eastAsia="Times New Roman" w:hAnsi="Source Sans Pro" w:cs="Times New Roman"/>
            <w:b/>
            <w:bCs/>
            <w:i/>
            <w:iCs/>
            <w:color w:val="4C8FCC"/>
            <w:sz w:val="30"/>
            <w:szCs w:val="30"/>
            <w:u w:val="single"/>
          </w:rPr>
          <w:t>1</w:t>
        </w:r>
      </w:hyperlink>
      <w:r w:rsidR="00BF3D75" w:rsidRPr="00BF3D75">
        <w:rPr>
          <w:rFonts w:ascii="Source Sans Pro" w:eastAsia="Times New Roman" w:hAnsi="Source Sans Pro" w:cs="Times New Roman"/>
          <w:b/>
          <w:bCs/>
          <w:i/>
          <w:iCs/>
          <w:color w:val="4C8FCC"/>
          <w:sz w:val="30"/>
          <w:szCs w:val="30"/>
        </w:rPr>
        <w:t>}</w:t>
      </w:r>
      <w:r>
        <w:rPr>
          <w:rFonts w:ascii="Source Sans Pro" w:eastAsia="Times New Roman" w:hAnsi="Source Sans Pro" w:cs="Times New Roman"/>
          <w:b/>
          <w:bCs/>
          <w:i/>
          <w:iCs/>
          <w:color w:val="4C8FCC"/>
          <w:sz w:val="30"/>
          <w:szCs w:val="30"/>
        </w:rPr>
        <w:t>”</w:t>
      </w:r>
    </w:p>
    <w:p w14:paraId="14132DDE" w14:textId="0181F066" w:rsidR="00123ED3" w:rsidRDefault="00123ED3"/>
    <w:p w14:paraId="64264E32" w14:textId="77777777" w:rsidR="007A7D2D" w:rsidRPr="007A7D2D" w:rsidRDefault="007A7D2D" w:rsidP="007A7D2D">
      <w:pPr>
        <w:spacing w:after="300" w:line="420" w:lineRule="atLeast"/>
        <w:outlineLvl w:val="2"/>
        <w:rPr>
          <w:rFonts w:ascii="Source Sans Pro" w:eastAsia="Times New Roman" w:hAnsi="Source Sans Pro" w:cs="Times New Roman"/>
          <w:color w:val="237B8F"/>
          <w:sz w:val="33"/>
          <w:szCs w:val="33"/>
        </w:rPr>
      </w:pPr>
      <w:r w:rsidRPr="007A7D2D">
        <w:rPr>
          <w:rFonts w:ascii="Source Sans Pro" w:eastAsia="Times New Roman" w:hAnsi="Source Sans Pro" w:cs="Times New Roman"/>
          <w:color w:val="237B8F"/>
          <w:sz w:val="33"/>
          <w:szCs w:val="33"/>
        </w:rPr>
        <w:lastRenderedPageBreak/>
        <w:t>Figure SPM.4 </w:t>
      </w:r>
    </w:p>
    <w:p w14:paraId="3B89596D" w14:textId="77777777" w:rsidR="007A7D2D" w:rsidRDefault="007A7D2D"/>
    <w:p w14:paraId="43E964BC" w14:textId="20D6B944" w:rsidR="00BF3D75" w:rsidRDefault="00BF3D75">
      <w:r w:rsidRPr="00BF3D75">
        <w:rPr>
          <w:noProof/>
        </w:rPr>
        <w:drawing>
          <wp:inline distT="0" distB="0" distL="0" distR="0" wp14:anchorId="3C02B69D" wp14:editId="321FDD57">
            <wp:extent cx="6667467" cy="55740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767" cy="5591001"/>
                    </a:xfrm>
                    <a:prstGeom prst="rect">
                      <a:avLst/>
                    </a:prstGeom>
                    <a:noFill/>
                    <a:ln>
                      <a:noFill/>
                    </a:ln>
                  </pic:spPr>
                </pic:pic>
              </a:graphicData>
            </a:graphic>
          </wp:inline>
        </w:drawing>
      </w:r>
    </w:p>
    <w:p w14:paraId="4FA2A359" w14:textId="332727E1" w:rsidR="00BF3D75" w:rsidRDefault="00BF3D75"/>
    <w:p w14:paraId="0031A44E" w14:textId="0B78F558" w:rsidR="00BF3D75" w:rsidRDefault="00BF3D75"/>
    <w:p w14:paraId="2888437C" w14:textId="77777777" w:rsidR="00D52F44" w:rsidRPr="00D52F44" w:rsidRDefault="00D52F44" w:rsidP="00D52F44">
      <w:pPr>
        <w:spacing w:after="450" w:line="630" w:lineRule="atLeast"/>
        <w:jc w:val="center"/>
        <w:outlineLvl w:val="1"/>
        <w:rPr>
          <w:rFonts w:ascii="Source Sans Pro" w:eastAsia="Times New Roman" w:hAnsi="Source Sans Pro" w:cs="Times New Roman"/>
          <w:b/>
          <w:bCs/>
          <w:color w:val="4C8FCC"/>
          <w:sz w:val="40"/>
          <w:szCs w:val="40"/>
        </w:rPr>
      </w:pPr>
      <w:r w:rsidRPr="00D52F44">
        <w:rPr>
          <w:rFonts w:ascii="Source Sans Pro" w:eastAsia="Times New Roman" w:hAnsi="Source Sans Pro" w:cs="Times New Roman"/>
          <w:b/>
          <w:bCs/>
          <w:color w:val="4C8FCC"/>
          <w:sz w:val="40"/>
          <w:szCs w:val="40"/>
        </w:rPr>
        <w:t>SPM.2. Future Climate Changes, Risks and Impacts</w:t>
      </w:r>
    </w:p>
    <w:p w14:paraId="502C445C" w14:textId="4D475576" w:rsidR="00BF3D75" w:rsidRDefault="00BF3D75"/>
    <w:p w14:paraId="6BD6794F" w14:textId="1DF8B3A1" w:rsidR="007A2687" w:rsidRDefault="007A2687"/>
    <w:p w14:paraId="055F7EE0" w14:textId="77777777" w:rsidR="007A2687" w:rsidRPr="007A2687" w:rsidRDefault="007A2687" w:rsidP="007A2687">
      <w:pPr>
        <w:spacing w:after="300" w:line="420" w:lineRule="atLeast"/>
        <w:outlineLvl w:val="2"/>
        <w:rPr>
          <w:rFonts w:ascii="Source Sans Pro" w:eastAsia="Times New Roman" w:hAnsi="Source Sans Pro" w:cs="Times New Roman"/>
          <w:color w:val="237B8F"/>
          <w:sz w:val="33"/>
          <w:szCs w:val="33"/>
        </w:rPr>
      </w:pPr>
      <w:r w:rsidRPr="007A2687">
        <w:rPr>
          <w:rFonts w:ascii="Source Sans Pro" w:eastAsia="Times New Roman" w:hAnsi="Source Sans Pro" w:cs="Times New Roman"/>
          <w:color w:val="237B8F"/>
          <w:sz w:val="33"/>
          <w:szCs w:val="33"/>
        </w:rPr>
        <w:lastRenderedPageBreak/>
        <w:t>Figure SPM.8 </w:t>
      </w:r>
    </w:p>
    <w:p w14:paraId="690FD890" w14:textId="77777777" w:rsidR="007A2687" w:rsidRDefault="007A2687"/>
    <w:p w14:paraId="07BFCCC0" w14:textId="25610EC7" w:rsidR="00BF3D75" w:rsidRDefault="00B12AA0">
      <w:r w:rsidRPr="00B12AA0">
        <w:rPr>
          <w:noProof/>
        </w:rPr>
        <w:drawing>
          <wp:inline distT="0" distB="0" distL="0" distR="0" wp14:anchorId="024BF373" wp14:editId="537DA777">
            <wp:extent cx="6795770" cy="49000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075" cy="4932016"/>
                    </a:xfrm>
                    <a:prstGeom prst="rect">
                      <a:avLst/>
                    </a:prstGeom>
                    <a:noFill/>
                    <a:ln>
                      <a:noFill/>
                    </a:ln>
                  </pic:spPr>
                </pic:pic>
              </a:graphicData>
            </a:graphic>
          </wp:inline>
        </w:drawing>
      </w:r>
    </w:p>
    <w:p w14:paraId="1780A211" w14:textId="3CD61B60" w:rsidR="00B12AA0" w:rsidRDefault="00B12AA0"/>
    <w:p w14:paraId="7CE50A5D" w14:textId="79CB7F7A" w:rsidR="00B12AA0" w:rsidRDefault="00B12AA0"/>
    <w:p w14:paraId="1A06025A" w14:textId="6BC2C875" w:rsidR="00AA22DF" w:rsidRDefault="00AA22DF" w:rsidP="00AA22DF">
      <w:pPr>
        <w:spacing w:after="450" w:line="630" w:lineRule="atLeast"/>
        <w:jc w:val="center"/>
        <w:outlineLvl w:val="1"/>
        <w:rPr>
          <w:rFonts w:ascii="Source Sans Pro" w:eastAsia="Times New Roman" w:hAnsi="Source Sans Pro" w:cs="Times New Roman"/>
          <w:b/>
          <w:bCs/>
          <w:color w:val="4C8FCC"/>
          <w:sz w:val="40"/>
          <w:szCs w:val="40"/>
        </w:rPr>
      </w:pPr>
      <w:r w:rsidRPr="00AA22DF">
        <w:rPr>
          <w:rFonts w:ascii="Source Sans Pro" w:eastAsia="Times New Roman" w:hAnsi="Source Sans Pro" w:cs="Times New Roman"/>
          <w:b/>
          <w:bCs/>
          <w:color w:val="4C8FCC"/>
          <w:sz w:val="40"/>
          <w:szCs w:val="40"/>
        </w:rPr>
        <w:t>SPM.3. Future Pathways for Adaptation, Mitigation and Sustainable Development</w:t>
      </w:r>
    </w:p>
    <w:p w14:paraId="2A913308" w14:textId="77777777" w:rsidR="00DB1CD1" w:rsidRPr="00AA22DF" w:rsidRDefault="00DB1CD1" w:rsidP="00AA22DF">
      <w:pPr>
        <w:spacing w:after="450" w:line="630" w:lineRule="atLeast"/>
        <w:jc w:val="center"/>
        <w:outlineLvl w:val="1"/>
        <w:rPr>
          <w:rFonts w:ascii="Source Sans Pro" w:eastAsia="Times New Roman" w:hAnsi="Source Sans Pro" w:cs="Times New Roman"/>
          <w:b/>
          <w:bCs/>
          <w:color w:val="4C8FCC"/>
          <w:sz w:val="40"/>
          <w:szCs w:val="40"/>
        </w:rPr>
      </w:pPr>
    </w:p>
    <w:p w14:paraId="0AE3ED9E" w14:textId="77777777" w:rsidR="00661DFE" w:rsidRPr="00661DFE" w:rsidRDefault="00661DFE" w:rsidP="00661DFE">
      <w:r w:rsidRPr="00661DFE">
        <w:lastRenderedPageBreak/>
        <w:t>Table SPM.1 | Key characteristics of the scenarios collected and assessed for WGIII AR5. For all parameters, the 10th to 90th percentile of the scenarios is shown</w:t>
      </w:r>
      <w:r w:rsidRPr="00661DFE">
        <w:rPr>
          <w:vertAlign w:val="superscript"/>
        </w:rPr>
        <w:t>a</w:t>
      </w:r>
      <w:r w:rsidRPr="00661DFE">
        <w:t>. </w:t>
      </w:r>
      <w:r w:rsidRPr="00661DFE">
        <w:rPr>
          <w:i/>
          <w:iCs/>
        </w:rPr>
        <w:t>{</w:t>
      </w:r>
      <w:hyperlink r:id="rId13" w:anchor="table_3_1" w:history="1">
        <w:r w:rsidRPr="00661DFE">
          <w:rPr>
            <w:rStyle w:val="Hyperlink"/>
            <w:i/>
            <w:iCs/>
          </w:rPr>
          <w:t>Table 3.1</w:t>
        </w:r>
      </w:hyperlink>
      <w:r w:rsidRPr="00661DFE">
        <w:rPr>
          <w:i/>
          <w:iCs/>
        </w:rPr>
        <w:t>}</w:t>
      </w:r>
    </w:p>
    <w:tbl>
      <w:tblPr>
        <w:tblW w:w="5000" w:type="pct"/>
        <w:tblCellMar>
          <w:left w:w="0" w:type="dxa"/>
          <w:right w:w="0" w:type="dxa"/>
        </w:tblCellMar>
        <w:tblLook w:val="04A0" w:firstRow="1" w:lastRow="0" w:firstColumn="1" w:lastColumn="0" w:noHBand="0" w:noVBand="1"/>
      </w:tblPr>
      <w:tblGrid>
        <w:gridCol w:w="1545"/>
        <w:gridCol w:w="1437"/>
        <w:gridCol w:w="1011"/>
        <w:gridCol w:w="794"/>
        <w:gridCol w:w="856"/>
        <w:gridCol w:w="962"/>
        <w:gridCol w:w="962"/>
        <w:gridCol w:w="894"/>
        <w:gridCol w:w="883"/>
      </w:tblGrid>
      <w:tr w:rsidR="00661DFE" w:rsidRPr="00661DFE" w14:paraId="12C8F0A6" w14:textId="77777777" w:rsidTr="008E4C74">
        <w:trPr>
          <w:tblHeader/>
        </w:trPr>
        <w:tc>
          <w:tcPr>
            <w:tcW w:w="822" w:type="pct"/>
            <w:vMerge w:val="restar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651F6DE2" w14:textId="77777777" w:rsidR="00661DFE" w:rsidRPr="00661DFE" w:rsidRDefault="00661DFE" w:rsidP="00661DFE">
            <w:r w:rsidRPr="00661DFE">
              <w:t>CO</w:t>
            </w:r>
            <w:r w:rsidRPr="00661DFE">
              <w:rPr>
                <w:vertAlign w:val="subscript"/>
              </w:rPr>
              <w:t>2</w:t>
            </w:r>
            <w:r w:rsidRPr="00661DFE">
              <w:t>-eq Concentrations in 2100 (CO</w:t>
            </w:r>
            <w:r w:rsidRPr="00661DFE">
              <w:rPr>
                <w:vertAlign w:val="subscript"/>
              </w:rPr>
              <w:t>2</w:t>
            </w:r>
            <w:r w:rsidRPr="00661DFE">
              <w:t>-eq) </w:t>
            </w:r>
            <w:r w:rsidRPr="00661DFE">
              <w:rPr>
                <w:vertAlign w:val="superscript"/>
              </w:rPr>
              <w:t>f</w:t>
            </w:r>
            <w:r w:rsidRPr="00661DFE">
              <w:br/>
              <w:t>Category label</w:t>
            </w:r>
          </w:p>
        </w:tc>
        <w:tc>
          <w:tcPr>
            <w:tcW w:w="709" w:type="pct"/>
            <w:vMerge w:val="restar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01C76CBE" w14:textId="77777777" w:rsidR="00661DFE" w:rsidRPr="00661DFE" w:rsidRDefault="00661DFE" w:rsidP="00661DFE">
            <w:r w:rsidRPr="00661DFE">
              <w:t>Subcategories</w:t>
            </w:r>
          </w:p>
        </w:tc>
        <w:tc>
          <w:tcPr>
            <w:tcW w:w="556" w:type="pct"/>
            <w:vMerge w:val="restar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5AA36F3E" w14:textId="77777777" w:rsidR="00661DFE" w:rsidRPr="00661DFE" w:rsidRDefault="00661DFE" w:rsidP="00661DFE">
            <w:r w:rsidRPr="00661DFE">
              <w:t>Relative position of the RCPs</w:t>
            </w:r>
            <w:r w:rsidRPr="00661DFE">
              <w:rPr>
                <w:vertAlign w:val="superscript"/>
              </w:rPr>
              <w:t>d</w:t>
            </w:r>
          </w:p>
        </w:tc>
        <w:tc>
          <w:tcPr>
            <w:tcW w:w="913" w:type="pct"/>
            <w:gridSpan w:val="2"/>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4AEF7C89" w14:textId="77777777" w:rsidR="00661DFE" w:rsidRPr="00661DFE" w:rsidRDefault="00661DFE" w:rsidP="00661DFE">
            <w:r w:rsidRPr="00661DFE">
              <w:t>Change in CO</w:t>
            </w:r>
            <w:r w:rsidRPr="00661DFE">
              <w:rPr>
                <w:vertAlign w:val="subscript"/>
              </w:rPr>
              <w:t>2</w:t>
            </w:r>
            <w:r w:rsidRPr="00661DFE">
              <w:t>-eq emissions compared to 2010 (in %)</w:t>
            </w:r>
            <w:r w:rsidRPr="00661DFE">
              <w:rPr>
                <w:vertAlign w:val="superscript"/>
              </w:rPr>
              <w:t>c</w:t>
            </w:r>
          </w:p>
        </w:tc>
        <w:tc>
          <w:tcPr>
            <w:tcW w:w="2001" w:type="pct"/>
            <w:gridSpan w:val="4"/>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60896A89" w14:textId="77777777" w:rsidR="00661DFE" w:rsidRPr="00661DFE" w:rsidRDefault="00661DFE" w:rsidP="00661DFE">
            <w:r w:rsidRPr="00661DFE">
              <w:t>Likelihood of staying below a specific temperature level over the 21st century (relative to 1850-1900)</w:t>
            </w:r>
            <w:r w:rsidRPr="00661DFE">
              <w:rPr>
                <w:vertAlign w:val="superscript"/>
              </w:rPr>
              <w:t>d,e</w:t>
            </w:r>
          </w:p>
        </w:tc>
      </w:tr>
      <w:tr w:rsidR="008E4C74" w:rsidRPr="00661DFE" w14:paraId="6B290CAB" w14:textId="77777777" w:rsidTr="008E4C74">
        <w:trPr>
          <w:tblHeader/>
        </w:trPr>
        <w:tc>
          <w:tcPr>
            <w:tcW w:w="822" w:type="pct"/>
            <w:vMerge/>
            <w:tcBorders>
              <w:top w:val="single" w:sz="6" w:space="0" w:color="EEEEEE"/>
              <w:left w:val="single" w:sz="6" w:space="0" w:color="EEEEEE"/>
              <w:bottom w:val="single" w:sz="6" w:space="0" w:color="EEEEEE"/>
              <w:right w:val="single" w:sz="6" w:space="0" w:color="EEEEEE"/>
            </w:tcBorders>
            <w:vAlign w:val="center"/>
            <w:hideMark/>
          </w:tcPr>
          <w:p w14:paraId="41C4D2D7" w14:textId="77777777" w:rsidR="00661DFE" w:rsidRPr="00661DFE" w:rsidRDefault="00661DFE" w:rsidP="00661DFE"/>
        </w:tc>
        <w:tc>
          <w:tcPr>
            <w:tcW w:w="709" w:type="pct"/>
            <w:vMerge/>
            <w:tcBorders>
              <w:top w:val="single" w:sz="6" w:space="0" w:color="EEEEEE"/>
              <w:left w:val="single" w:sz="6" w:space="0" w:color="EEEEEE"/>
              <w:bottom w:val="single" w:sz="6" w:space="0" w:color="EEEEEE"/>
              <w:right w:val="single" w:sz="6" w:space="0" w:color="EEEEEE"/>
            </w:tcBorders>
            <w:vAlign w:val="center"/>
            <w:hideMark/>
          </w:tcPr>
          <w:p w14:paraId="36D96756" w14:textId="77777777" w:rsidR="00661DFE" w:rsidRPr="00661DFE" w:rsidRDefault="00661DFE" w:rsidP="00661DFE"/>
        </w:tc>
        <w:tc>
          <w:tcPr>
            <w:tcW w:w="556" w:type="pct"/>
            <w:vMerge/>
            <w:tcBorders>
              <w:top w:val="single" w:sz="6" w:space="0" w:color="EEEEEE"/>
              <w:left w:val="single" w:sz="6" w:space="0" w:color="EEEEEE"/>
              <w:bottom w:val="single" w:sz="6" w:space="0" w:color="EEEEEE"/>
              <w:right w:val="single" w:sz="6" w:space="0" w:color="EEEEEE"/>
            </w:tcBorders>
            <w:vAlign w:val="center"/>
            <w:hideMark/>
          </w:tcPr>
          <w:p w14:paraId="4D5E10EE" w14:textId="77777777" w:rsidR="00661DFE" w:rsidRPr="00661DFE" w:rsidRDefault="00661DFE" w:rsidP="00661DFE"/>
        </w:tc>
        <w:tc>
          <w:tcPr>
            <w:tcW w:w="440"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2CBC4744" w14:textId="77777777" w:rsidR="00661DFE" w:rsidRPr="00661DFE" w:rsidRDefault="00661DFE" w:rsidP="00661DFE">
            <w:r w:rsidRPr="00661DFE">
              <w:t>2050</w:t>
            </w:r>
          </w:p>
        </w:tc>
        <w:tc>
          <w:tcPr>
            <w:tcW w:w="473"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4E06B626" w14:textId="77777777" w:rsidR="00661DFE" w:rsidRPr="00661DFE" w:rsidRDefault="00661DFE" w:rsidP="00661DFE">
            <w:r w:rsidRPr="00661DFE">
              <w:t>2100</w:t>
            </w:r>
          </w:p>
        </w:tc>
        <w:tc>
          <w:tcPr>
            <w:tcW w:w="508"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72869D5A" w14:textId="77777777" w:rsidR="00661DFE" w:rsidRPr="00661DFE" w:rsidRDefault="00661DFE" w:rsidP="00661DFE">
            <w:r w:rsidRPr="00661DFE">
              <w:t>1.5ºC</w:t>
            </w:r>
          </w:p>
        </w:tc>
        <w:tc>
          <w:tcPr>
            <w:tcW w:w="512"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314F85D3" w14:textId="77777777" w:rsidR="00661DFE" w:rsidRPr="00661DFE" w:rsidRDefault="00661DFE" w:rsidP="00661DFE">
            <w:r w:rsidRPr="00661DFE">
              <w:t>2ºC</w:t>
            </w:r>
          </w:p>
        </w:tc>
        <w:tc>
          <w:tcPr>
            <w:tcW w:w="493"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52CDBA81" w14:textId="77777777" w:rsidR="00661DFE" w:rsidRPr="00661DFE" w:rsidRDefault="00661DFE" w:rsidP="00661DFE">
            <w:r w:rsidRPr="00661DFE">
              <w:t>3ºC</w:t>
            </w:r>
          </w:p>
        </w:tc>
        <w:tc>
          <w:tcPr>
            <w:tcW w:w="488"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3978D250" w14:textId="77777777" w:rsidR="00661DFE" w:rsidRPr="00661DFE" w:rsidRDefault="00661DFE" w:rsidP="00661DFE">
            <w:r w:rsidRPr="00661DFE">
              <w:t>4ºC</w:t>
            </w:r>
          </w:p>
        </w:tc>
      </w:tr>
      <w:tr w:rsidR="00661DFE" w:rsidRPr="00661DFE" w14:paraId="0797C15E" w14:textId="77777777" w:rsidTr="008E4C74">
        <w:tc>
          <w:tcPr>
            <w:tcW w:w="822" w:type="pc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20D7F283" w14:textId="77777777" w:rsidR="00661DFE" w:rsidRPr="00661DFE" w:rsidRDefault="00661DFE" w:rsidP="00661DFE">
            <w:r w:rsidRPr="00661DFE">
              <w:t>&lt; 430</w:t>
            </w:r>
          </w:p>
        </w:tc>
        <w:tc>
          <w:tcPr>
            <w:tcW w:w="4178" w:type="pct"/>
            <w:gridSpan w:val="8"/>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177F3EC5" w14:textId="77777777" w:rsidR="00661DFE" w:rsidRPr="00661DFE" w:rsidRDefault="00661DFE" w:rsidP="00661DFE">
            <w:r w:rsidRPr="00661DFE">
              <w:t>Only a limited number of individual model studies have explored levels below 430 ppm CO</w:t>
            </w:r>
            <w:r w:rsidRPr="00661DFE">
              <w:rPr>
                <w:vertAlign w:val="subscript"/>
              </w:rPr>
              <w:t>2</w:t>
            </w:r>
            <w:r w:rsidRPr="00661DFE">
              <w:t>-eq</w:t>
            </w:r>
            <w:r w:rsidRPr="00661DFE">
              <w:rPr>
                <w:vertAlign w:val="superscript"/>
              </w:rPr>
              <w:t>j</w:t>
            </w:r>
          </w:p>
        </w:tc>
      </w:tr>
      <w:tr w:rsidR="008E4C74" w:rsidRPr="00661DFE" w14:paraId="0A0C9ED9" w14:textId="77777777" w:rsidTr="008E4C74">
        <w:tc>
          <w:tcPr>
            <w:tcW w:w="822" w:type="pc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63E1F6A8" w14:textId="77777777" w:rsidR="00661DFE" w:rsidRPr="00661DFE" w:rsidRDefault="00661DFE" w:rsidP="00661DFE">
            <w:r w:rsidRPr="00661DFE">
              <w:t>450</w:t>
            </w:r>
            <w:r w:rsidRPr="00661DFE">
              <w:br/>
              <w:t>(430 – 480)</w:t>
            </w:r>
          </w:p>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6EC07E1E" w14:textId="77777777" w:rsidR="00661DFE" w:rsidRPr="00661DFE" w:rsidRDefault="00661DFE" w:rsidP="00661DFE">
            <w:r w:rsidRPr="00661DFE">
              <w:t>Total range</w:t>
            </w:r>
            <w:r w:rsidRPr="00661DFE">
              <w:rPr>
                <w:vertAlign w:val="superscript"/>
              </w:rPr>
              <w:t>a,g</w:t>
            </w:r>
          </w:p>
        </w:tc>
        <w:tc>
          <w:tcPr>
            <w:tcW w:w="556"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69B34519" w14:textId="77777777" w:rsidR="00661DFE" w:rsidRPr="00661DFE" w:rsidRDefault="00661DFE" w:rsidP="00661DFE">
            <w:r w:rsidRPr="00661DFE">
              <w:t>RCP2.6</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1D6EC832" w14:textId="77777777" w:rsidR="00661DFE" w:rsidRPr="00661DFE" w:rsidRDefault="00661DFE" w:rsidP="00661DFE">
            <w:r w:rsidRPr="00661DFE">
              <w:t>-72 to -41</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3E02E029" w14:textId="77777777" w:rsidR="00661DFE" w:rsidRPr="00661DFE" w:rsidRDefault="00661DFE" w:rsidP="00661DFE">
            <w:r w:rsidRPr="00661DFE">
              <w:t>-118 to -78</w:t>
            </w:r>
          </w:p>
        </w:tc>
        <w:tc>
          <w:tcPr>
            <w:tcW w:w="508"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0F5E4F00" w14:textId="77777777" w:rsidR="00661DFE" w:rsidRPr="00661DFE" w:rsidRDefault="00661DFE" w:rsidP="00661DFE">
            <w:r w:rsidRPr="00661DFE">
              <w:rPr>
                <w:i/>
                <w:iCs/>
              </w:rPr>
              <w:t>More unlikely than likely</w:t>
            </w:r>
          </w:p>
        </w:tc>
        <w:tc>
          <w:tcPr>
            <w:tcW w:w="512" w:type="pct"/>
            <w:tcBorders>
              <w:top w:val="single" w:sz="6" w:space="0" w:color="EEEEEE"/>
              <w:left w:val="single" w:sz="6" w:space="0" w:color="EEEEEE"/>
              <w:bottom w:val="single" w:sz="6" w:space="0" w:color="EEEEEE"/>
              <w:right w:val="single" w:sz="6" w:space="0" w:color="EEEEEE"/>
            </w:tcBorders>
            <w:shd w:val="clear" w:color="auto" w:fill="F6C47D"/>
            <w:tcMar>
              <w:top w:w="90" w:type="dxa"/>
              <w:left w:w="90" w:type="dxa"/>
              <w:bottom w:w="90" w:type="dxa"/>
              <w:right w:w="90" w:type="dxa"/>
            </w:tcMar>
            <w:hideMark/>
          </w:tcPr>
          <w:p w14:paraId="30097F21" w14:textId="77777777" w:rsidR="00661DFE" w:rsidRPr="00661DFE" w:rsidRDefault="00661DFE" w:rsidP="00661DFE">
            <w:r w:rsidRPr="00661DFE">
              <w:rPr>
                <w:i/>
                <w:iCs/>
              </w:rPr>
              <w:t>Likely</w:t>
            </w:r>
          </w:p>
        </w:tc>
        <w:tc>
          <w:tcPr>
            <w:tcW w:w="493" w:type="pct"/>
            <w:vMerge w:val="restart"/>
            <w:tcBorders>
              <w:top w:val="single" w:sz="6" w:space="0" w:color="EEEEEE"/>
              <w:left w:val="single" w:sz="6" w:space="0" w:color="EEEEEE"/>
              <w:bottom w:val="single" w:sz="6" w:space="0" w:color="EEEEEE"/>
              <w:right w:val="single" w:sz="6" w:space="0" w:color="EEEEEE"/>
            </w:tcBorders>
            <w:shd w:val="clear" w:color="auto" w:fill="F6C47D"/>
            <w:tcMar>
              <w:top w:w="90" w:type="dxa"/>
              <w:left w:w="90" w:type="dxa"/>
              <w:bottom w:w="90" w:type="dxa"/>
              <w:right w:w="90" w:type="dxa"/>
            </w:tcMar>
            <w:hideMark/>
          </w:tcPr>
          <w:p w14:paraId="775EDD71" w14:textId="77777777" w:rsidR="00661DFE" w:rsidRPr="00661DFE" w:rsidRDefault="00661DFE" w:rsidP="00661DFE">
            <w:r w:rsidRPr="00661DFE">
              <w:rPr>
                <w:i/>
                <w:iCs/>
              </w:rPr>
              <w:t>Likely</w:t>
            </w:r>
          </w:p>
        </w:tc>
        <w:tc>
          <w:tcPr>
            <w:tcW w:w="488" w:type="pct"/>
            <w:vMerge w:val="restart"/>
            <w:tcBorders>
              <w:top w:val="single" w:sz="6" w:space="0" w:color="EEEEEE"/>
              <w:left w:val="single" w:sz="6" w:space="0" w:color="EEEEEE"/>
              <w:bottom w:val="single" w:sz="6" w:space="0" w:color="EEEEEE"/>
              <w:right w:val="single" w:sz="6" w:space="0" w:color="EEEEEE"/>
            </w:tcBorders>
            <w:shd w:val="clear" w:color="auto" w:fill="F6C47D"/>
            <w:tcMar>
              <w:top w:w="90" w:type="dxa"/>
              <w:left w:w="90" w:type="dxa"/>
              <w:bottom w:w="90" w:type="dxa"/>
              <w:right w:w="90" w:type="dxa"/>
            </w:tcMar>
            <w:hideMark/>
          </w:tcPr>
          <w:p w14:paraId="0D622AB2" w14:textId="77777777" w:rsidR="00661DFE" w:rsidRPr="00661DFE" w:rsidRDefault="00661DFE" w:rsidP="00661DFE">
            <w:r w:rsidRPr="00661DFE">
              <w:rPr>
                <w:i/>
                <w:iCs/>
              </w:rPr>
              <w:t>Likely</w:t>
            </w:r>
          </w:p>
        </w:tc>
      </w:tr>
      <w:tr w:rsidR="008E4C74" w:rsidRPr="00661DFE" w14:paraId="4B887113" w14:textId="77777777" w:rsidTr="008E4C74">
        <w:tc>
          <w:tcPr>
            <w:tcW w:w="822" w:type="pct"/>
            <w:vMerge w:val="restar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21369671" w14:textId="77777777" w:rsidR="00661DFE" w:rsidRPr="00661DFE" w:rsidRDefault="00661DFE" w:rsidP="00661DFE">
            <w:r w:rsidRPr="00661DFE">
              <w:t>500</w:t>
            </w:r>
            <w:r w:rsidRPr="00661DFE">
              <w:br/>
              <w:t>(480 – 530)</w:t>
            </w:r>
          </w:p>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46363BF3" w14:textId="77777777" w:rsidR="00661DFE" w:rsidRPr="00661DFE" w:rsidRDefault="00661DFE" w:rsidP="00661DFE">
            <w:r w:rsidRPr="00661DFE">
              <w:t>No overshoot of 530 ppm CO</w:t>
            </w:r>
            <w:r w:rsidRPr="00661DFE">
              <w:rPr>
                <w:vertAlign w:val="subscript"/>
              </w:rPr>
              <w:t>2</w:t>
            </w:r>
            <w:r w:rsidRPr="00661DFE">
              <w:t>-eq</w:t>
            </w:r>
          </w:p>
        </w:tc>
        <w:tc>
          <w:tcPr>
            <w:tcW w:w="556"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29A6BD62" w14:textId="77777777" w:rsidR="00661DFE" w:rsidRPr="00661DFE" w:rsidRDefault="00661DFE" w:rsidP="00661DFE">
            <w:r w:rsidRPr="00661DFE">
              <w:t> </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7CBC25D9" w14:textId="77777777" w:rsidR="00661DFE" w:rsidRPr="00661DFE" w:rsidRDefault="00661DFE" w:rsidP="00661DFE">
            <w:r w:rsidRPr="00661DFE">
              <w:t>-57 to -42</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59050073" w14:textId="77777777" w:rsidR="00661DFE" w:rsidRPr="00661DFE" w:rsidRDefault="00661DFE" w:rsidP="00661DFE">
            <w:r w:rsidRPr="00661DFE">
              <w:t>-107 to -73</w:t>
            </w:r>
          </w:p>
        </w:tc>
        <w:tc>
          <w:tcPr>
            <w:tcW w:w="508" w:type="pct"/>
            <w:vMerge w:val="restart"/>
            <w:tcBorders>
              <w:top w:val="single" w:sz="6" w:space="0" w:color="EEEEEE"/>
              <w:left w:val="single" w:sz="6" w:space="0" w:color="EEEEEE"/>
              <w:bottom w:val="single" w:sz="6" w:space="0" w:color="EEEEEE"/>
              <w:right w:val="single" w:sz="6" w:space="0" w:color="EEEEEE"/>
            </w:tcBorders>
            <w:shd w:val="clear" w:color="auto" w:fill="29A1BC"/>
            <w:tcMar>
              <w:top w:w="90" w:type="dxa"/>
              <w:left w:w="90" w:type="dxa"/>
              <w:bottom w:w="90" w:type="dxa"/>
              <w:right w:w="90" w:type="dxa"/>
            </w:tcMar>
            <w:hideMark/>
          </w:tcPr>
          <w:p w14:paraId="2FEF171E" w14:textId="77777777" w:rsidR="00661DFE" w:rsidRPr="00661DFE" w:rsidRDefault="00661DFE" w:rsidP="00661DFE">
            <w:r w:rsidRPr="00661DFE">
              <w:rPr>
                <w:i/>
                <w:iCs/>
              </w:rPr>
              <w:t>Unlikely</w:t>
            </w:r>
          </w:p>
        </w:tc>
        <w:tc>
          <w:tcPr>
            <w:tcW w:w="512" w:type="pct"/>
            <w:tcBorders>
              <w:top w:val="single" w:sz="6" w:space="0" w:color="EEEEEE"/>
              <w:left w:val="single" w:sz="6" w:space="0" w:color="EEEEEE"/>
              <w:bottom w:val="single" w:sz="6" w:space="0" w:color="EEEEEE"/>
              <w:right w:val="single" w:sz="6" w:space="0" w:color="EEEEEE"/>
            </w:tcBorders>
            <w:shd w:val="clear" w:color="auto" w:fill="DFE0E4"/>
            <w:tcMar>
              <w:top w:w="90" w:type="dxa"/>
              <w:left w:w="90" w:type="dxa"/>
              <w:bottom w:w="90" w:type="dxa"/>
              <w:right w:w="90" w:type="dxa"/>
            </w:tcMar>
            <w:hideMark/>
          </w:tcPr>
          <w:p w14:paraId="02569D7D" w14:textId="77777777" w:rsidR="00661DFE" w:rsidRPr="00661DFE" w:rsidRDefault="00661DFE" w:rsidP="00661DFE">
            <w:r w:rsidRPr="00661DFE">
              <w:rPr>
                <w:i/>
                <w:iCs/>
              </w:rPr>
              <w:t>More likely than not</w:t>
            </w:r>
          </w:p>
        </w:tc>
        <w:tc>
          <w:tcPr>
            <w:tcW w:w="493" w:type="pct"/>
            <w:vMerge/>
            <w:tcBorders>
              <w:top w:val="single" w:sz="6" w:space="0" w:color="EEEEEE"/>
              <w:left w:val="single" w:sz="6" w:space="0" w:color="EEEEEE"/>
              <w:bottom w:val="single" w:sz="6" w:space="0" w:color="EEEEEE"/>
              <w:right w:val="single" w:sz="6" w:space="0" w:color="EEEEEE"/>
            </w:tcBorders>
            <w:vAlign w:val="center"/>
            <w:hideMark/>
          </w:tcPr>
          <w:p w14:paraId="4FE471BE" w14:textId="77777777" w:rsidR="00661DFE" w:rsidRPr="00661DFE" w:rsidRDefault="00661DFE" w:rsidP="00661DFE"/>
        </w:tc>
        <w:tc>
          <w:tcPr>
            <w:tcW w:w="488" w:type="pct"/>
            <w:vMerge/>
            <w:tcBorders>
              <w:top w:val="single" w:sz="6" w:space="0" w:color="EEEEEE"/>
              <w:left w:val="single" w:sz="6" w:space="0" w:color="EEEEEE"/>
              <w:bottom w:val="single" w:sz="6" w:space="0" w:color="EEEEEE"/>
              <w:right w:val="single" w:sz="6" w:space="0" w:color="EEEEEE"/>
            </w:tcBorders>
            <w:vAlign w:val="center"/>
            <w:hideMark/>
          </w:tcPr>
          <w:p w14:paraId="09EC5BBF" w14:textId="77777777" w:rsidR="00661DFE" w:rsidRPr="00661DFE" w:rsidRDefault="00661DFE" w:rsidP="00661DFE"/>
        </w:tc>
      </w:tr>
      <w:tr w:rsidR="008E4C74" w:rsidRPr="00661DFE" w14:paraId="0FCCEFF3" w14:textId="77777777" w:rsidTr="008E4C74">
        <w:tc>
          <w:tcPr>
            <w:tcW w:w="822" w:type="pct"/>
            <w:vMerge/>
            <w:tcBorders>
              <w:top w:val="single" w:sz="6" w:space="0" w:color="EEEEEE"/>
              <w:left w:val="single" w:sz="6" w:space="0" w:color="EEEEEE"/>
              <w:bottom w:val="single" w:sz="6" w:space="0" w:color="EEEEEE"/>
              <w:right w:val="single" w:sz="6" w:space="0" w:color="EEEEEE"/>
            </w:tcBorders>
            <w:vAlign w:val="center"/>
            <w:hideMark/>
          </w:tcPr>
          <w:p w14:paraId="4C66B2B4" w14:textId="77777777" w:rsidR="00661DFE" w:rsidRPr="00661DFE" w:rsidRDefault="00661DFE" w:rsidP="00661DFE"/>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1AE28433" w14:textId="77777777" w:rsidR="00661DFE" w:rsidRPr="00661DFE" w:rsidRDefault="00661DFE" w:rsidP="00661DFE">
            <w:r w:rsidRPr="00661DFE">
              <w:t>Overshoot of 530 ppm CO</w:t>
            </w:r>
            <w:r w:rsidRPr="00661DFE">
              <w:rPr>
                <w:vertAlign w:val="subscript"/>
              </w:rPr>
              <w:t>2</w:t>
            </w:r>
            <w:r w:rsidRPr="00661DFE">
              <w:t>-eq</w:t>
            </w:r>
          </w:p>
        </w:tc>
        <w:tc>
          <w:tcPr>
            <w:tcW w:w="556"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7EF66613" w14:textId="77777777" w:rsidR="00661DFE" w:rsidRPr="00661DFE" w:rsidRDefault="00661DFE" w:rsidP="00661DFE">
            <w:r w:rsidRPr="00661DFE">
              <w:t> </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4DB6E707" w14:textId="77777777" w:rsidR="00661DFE" w:rsidRPr="00661DFE" w:rsidRDefault="00661DFE" w:rsidP="00661DFE">
            <w:r w:rsidRPr="00661DFE">
              <w:t>-55 to -25</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7CC9E8C2" w14:textId="77777777" w:rsidR="00661DFE" w:rsidRPr="00661DFE" w:rsidRDefault="00661DFE" w:rsidP="00661DFE">
            <w:r w:rsidRPr="00661DFE">
              <w:t>-114 to -90</w:t>
            </w:r>
          </w:p>
        </w:tc>
        <w:tc>
          <w:tcPr>
            <w:tcW w:w="508" w:type="pct"/>
            <w:vMerge/>
            <w:tcBorders>
              <w:top w:val="single" w:sz="6" w:space="0" w:color="EEEEEE"/>
              <w:left w:val="single" w:sz="6" w:space="0" w:color="EEEEEE"/>
              <w:bottom w:val="single" w:sz="6" w:space="0" w:color="EEEEEE"/>
              <w:right w:val="single" w:sz="6" w:space="0" w:color="EEEEEE"/>
            </w:tcBorders>
            <w:vAlign w:val="center"/>
            <w:hideMark/>
          </w:tcPr>
          <w:p w14:paraId="68F345EC" w14:textId="77777777" w:rsidR="00661DFE" w:rsidRPr="00661DFE" w:rsidRDefault="00661DFE" w:rsidP="00661DFE"/>
        </w:tc>
        <w:tc>
          <w:tcPr>
            <w:tcW w:w="512" w:type="pct"/>
            <w:tcBorders>
              <w:top w:val="single" w:sz="6" w:space="0" w:color="EEEEEE"/>
              <w:left w:val="single" w:sz="6" w:space="0" w:color="EEEEEE"/>
              <w:bottom w:val="single" w:sz="6" w:space="0" w:color="EEEEEE"/>
              <w:right w:val="single" w:sz="6" w:space="0" w:color="EEEEEE"/>
            </w:tcBorders>
            <w:shd w:val="clear" w:color="auto" w:fill="91CFDC"/>
            <w:tcMar>
              <w:top w:w="90" w:type="dxa"/>
              <w:left w:w="90" w:type="dxa"/>
              <w:bottom w:w="90" w:type="dxa"/>
              <w:right w:w="90" w:type="dxa"/>
            </w:tcMar>
            <w:hideMark/>
          </w:tcPr>
          <w:p w14:paraId="57CE5ADB" w14:textId="77777777" w:rsidR="00661DFE" w:rsidRPr="00661DFE" w:rsidRDefault="00661DFE" w:rsidP="00661DFE">
            <w:r w:rsidRPr="00661DFE">
              <w:rPr>
                <w:i/>
                <w:iCs/>
              </w:rPr>
              <w:t>About as likely as not</w:t>
            </w:r>
          </w:p>
        </w:tc>
        <w:tc>
          <w:tcPr>
            <w:tcW w:w="493" w:type="pct"/>
            <w:vMerge/>
            <w:tcBorders>
              <w:top w:val="single" w:sz="6" w:space="0" w:color="EEEEEE"/>
              <w:left w:val="single" w:sz="6" w:space="0" w:color="EEEEEE"/>
              <w:bottom w:val="single" w:sz="6" w:space="0" w:color="EEEEEE"/>
              <w:right w:val="single" w:sz="6" w:space="0" w:color="EEEEEE"/>
            </w:tcBorders>
            <w:vAlign w:val="center"/>
            <w:hideMark/>
          </w:tcPr>
          <w:p w14:paraId="22806185" w14:textId="77777777" w:rsidR="00661DFE" w:rsidRPr="00661DFE" w:rsidRDefault="00661DFE" w:rsidP="00661DFE"/>
        </w:tc>
        <w:tc>
          <w:tcPr>
            <w:tcW w:w="488" w:type="pct"/>
            <w:vMerge/>
            <w:tcBorders>
              <w:top w:val="single" w:sz="6" w:space="0" w:color="EEEEEE"/>
              <w:left w:val="single" w:sz="6" w:space="0" w:color="EEEEEE"/>
              <w:bottom w:val="single" w:sz="6" w:space="0" w:color="EEEEEE"/>
              <w:right w:val="single" w:sz="6" w:space="0" w:color="EEEEEE"/>
            </w:tcBorders>
            <w:vAlign w:val="center"/>
            <w:hideMark/>
          </w:tcPr>
          <w:p w14:paraId="3229FC9D" w14:textId="77777777" w:rsidR="00661DFE" w:rsidRPr="00661DFE" w:rsidRDefault="00661DFE" w:rsidP="00661DFE"/>
        </w:tc>
      </w:tr>
      <w:tr w:rsidR="008E4C74" w:rsidRPr="00661DFE" w14:paraId="4D375457" w14:textId="77777777" w:rsidTr="008E4C74">
        <w:tc>
          <w:tcPr>
            <w:tcW w:w="822" w:type="pct"/>
            <w:vMerge w:val="restar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441DF9BF" w14:textId="77777777" w:rsidR="00661DFE" w:rsidRPr="00661DFE" w:rsidRDefault="00661DFE" w:rsidP="00661DFE">
            <w:r w:rsidRPr="00661DFE">
              <w:t>550</w:t>
            </w:r>
            <w:r w:rsidRPr="00661DFE">
              <w:br/>
              <w:t>(530 – 580)</w:t>
            </w:r>
          </w:p>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4D02DE44" w14:textId="77777777" w:rsidR="00661DFE" w:rsidRPr="00661DFE" w:rsidRDefault="00661DFE" w:rsidP="00661DFE">
            <w:r w:rsidRPr="00661DFE">
              <w:t>No overshoot of 580 ppm CO</w:t>
            </w:r>
            <w:r w:rsidRPr="00661DFE">
              <w:rPr>
                <w:vertAlign w:val="subscript"/>
              </w:rPr>
              <w:t>2</w:t>
            </w:r>
            <w:r w:rsidRPr="00661DFE">
              <w:t>-eq</w:t>
            </w:r>
          </w:p>
        </w:tc>
        <w:tc>
          <w:tcPr>
            <w:tcW w:w="556"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0215B44B" w14:textId="77777777" w:rsidR="00661DFE" w:rsidRPr="00661DFE" w:rsidRDefault="00661DFE" w:rsidP="00661DFE">
            <w:r w:rsidRPr="00661DFE">
              <w:t> </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15B24FB4" w14:textId="77777777" w:rsidR="00661DFE" w:rsidRPr="00661DFE" w:rsidRDefault="00661DFE" w:rsidP="00661DFE">
            <w:r w:rsidRPr="00661DFE">
              <w:t>-47 to -19</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74A8778B" w14:textId="77777777" w:rsidR="00661DFE" w:rsidRPr="00661DFE" w:rsidRDefault="00661DFE" w:rsidP="00661DFE">
            <w:r w:rsidRPr="00661DFE">
              <w:t>-81 to -59</w:t>
            </w:r>
          </w:p>
        </w:tc>
        <w:tc>
          <w:tcPr>
            <w:tcW w:w="508" w:type="pct"/>
            <w:vMerge/>
            <w:tcBorders>
              <w:top w:val="single" w:sz="6" w:space="0" w:color="EEEEEE"/>
              <w:left w:val="single" w:sz="6" w:space="0" w:color="EEEEEE"/>
              <w:bottom w:val="single" w:sz="6" w:space="0" w:color="EEEEEE"/>
              <w:right w:val="single" w:sz="6" w:space="0" w:color="EEEEEE"/>
            </w:tcBorders>
            <w:vAlign w:val="center"/>
            <w:hideMark/>
          </w:tcPr>
          <w:p w14:paraId="7DFF0774" w14:textId="77777777" w:rsidR="00661DFE" w:rsidRPr="00661DFE" w:rsidRDefault="00661DFE" w:rsidP="00661DFE"/>
        </w:tc>
        <w:tc>
          <w:tcPr>
            <w:tcW w:w="512" w:type="pct"/>
            <w:vMerge w:val="restar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3BCDE600" w14:textId="77777777" w:rsidR="00661DFE" w:rsidRPr="00661DFE" w:rsidRDefault="00661DFE" w:rsidP="00661DFE">
            <w:r w:rsidRPr="00661DFE">
              <w:rPr>
                <w:i/>
                <w:iCs/>
              </w:rPr>
              <w:t>More unlikely than likely</w:t>
            </w:r>
            <w:r w:rsidRPr="00661DFE">
              <w:rPr>
                <w:i/>
                <w:iCs/>
                <w:vertAlign w:val="superscript"/>
              </w:rPr>
              <w:t>i</w:t>
            </w:r>
          </w:p>
        </w:tc>
        <w:tc>
          <w:tcPr>
            <w:tcW w:w="493" w:type="pct"/>
            <w:vMerge/>
            <w:tcBorders>
              <w:top w:val="single" w:sz="6" w:space="0" w:color="EEEEEE"/>
              <w:left w:val="single" w:sz="6" w:space="0" w:color="EEEEEE"/>
              <w:bottom w:val="single" w:sz="6" w:space="0" w:color="EEEEEE"/>
              <w:right w:val="single" w:sz="6" w:space="0" w:color="EEEEEE"/>
            </w:tcBorders>
            <w:vAlign w:val="center"/>
            <w:hideMark/>
          </w:tcPr>
          <w:p w14:paraId="64FD6763" w14:textId="77777777" w:rsidR="00661DFE" w:rsidRPr="00661DFE" w:rsidRDefault="00661DFE" w:rsidP="00661DFE"/>
        </w:tc>
        <w:tc>
          <w:tcPr>
            <w:tcW w:w="488" w:type="pct"/>
            <w:vMerge/>
            <w:tcBorders>
              <w:top w:val="single" w:sz="6" w:space="0" w:color="EEEEEE"/>
              <w:left w:val="single" w:sz="6" w:space="0" w:color="EEEEEE"/>
              <w:bottom w:val="single" w:sz="6" w:space="0" w:color="EEEEEE"/>
              <w:right w:val="single" w:sz="6" w:space="0" w:color="EEEEEE"/>
            </w:tcBorders>
            <w:vAlign w:val="center"/>
            <w:hideMark/>
          </w:tcPr>
          <w:p w14:paraId="6874358D" w14:textId="77777777" w:rsidR="00661DFE" w:rsidRPr="00661DFE" w:rsidRDefault="00661DFE" w:rsidP="00661DFE"/>
        </w:tc>
      </w:tr>
      <w:tr w:rsidR="008E4C74" w:rsidRPr="00661DFE" w14:paraId="7BC9A6B3" w14:textId="77777777" w:rsidTr="008E4C74">
        <w:tc>
          <w:tcPr>
            <w:tcW w:w="822" w:type="pct"/>
            <w:vMerge/>
            <w:tcBorders>
              <w:top w:val="single" w:sz="6" w:space="0" w:color="EEEEEE"/>
              <w:left w:val="single" w:sz="6" w:space="0" w:color="EEEEEE"/>
              <w:bottom w:val="single" w:sz="6" w:space="0" w:color="EEEEEE"/>
              <w:right w:val="single" w:sz="6" w:space="0" w:color="EEEEEE"/>
            </w:tcBorders>
            <w:vAlign w:val="center"/>
            <w:hideMark/>
          </w:tcPr>
          <w:p w14:paraId="5EAB5995" w14:textId="77777777" w:rsidR="00661DFE" w:rsidRPr="00661DFE" w:rsidRDefault="00661DFE" w:rsidP="00661DFE"/>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6E988A02" w14:textId="77777777" w:rsidR="00661DFE" w:rsidRPr="00661DFE" w:rsidRDefault="00661DFE" w:rsidP="00661DFE">
            <w:r w:rsidRPr="00661DFE">
              <w:t>Overshoot of 580 ppm CO</w:t>
            </w:r>
            <w:r w:rsidRPr="00661DFE">
              <w:rPr>
                <w:vertAlign w:val="subscript"/>
              </w:rPr>
              <w:t>2</w:t>
            </w:r>
            <w:r w:rsidRPr="00661DFE">
              <w:t>-eq</w:t>
            </w:r>
          </w:p>
        </w:tc>
        <w:tc>
          <w:tcPr>
            <w:tcW w:w="556"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6CF3699B" w14:textId="77777777" w:rsidR="00661DFE" w:rsidRPr="00661DFE" w:rsidRDefault="00661DFE" w:rsidP="00661DFE">
            <w:r w:rsidRPr="00661DFE">
              <w:t> </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51275B50" w14:textId="77777777" w:rsidR="00661DFE" w:rsidRPr="00661DFE" w:rsidRDefault="00661DFE" w:rsidP="00661DFE">
            <w:r w:rsidRPr="00661DFE">
              <w:t>-16 to 7</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6DE6FD94" w14:textId="77777777" w:rsidR="00661DFE" w:rsidRPr="00661DFE" w:rsidRDefault="00661DFE" w:rsidP="00661DFE">
            <w:r w:rsidRPr="00661DFE">
              <w:t>-183 to -86</w:t>
            </w:r>
          </w:p>
        </w:tc>
        <w:tc>
          <w:tcPr>
            <w:tcW w:w="508" w:type="pct"/>
            <w:vMerge/>
            <w:tcBorders>
              <w:top w:val="single" w:sz="6" w:space="0" w:color="EEEEEE"/>
              <w:left w:val="single" w:sz="6" w:space="0" w:color="EEEEEE"/>
              <w:bottom w:val="single" w:sz="6" w:space="0" w:color="EEEEEE"/>
              <w:right w:val="single" w:sz="6" w:space="0" w:color="EEEEEE"/>
            </w:tcBorders>
            <w:vAlign w:val="center"/>
            <w:hideMark/>
          </w:tcPr>
          <w:p w14:paraId="519AF7B9" w14:textId="77777777" w:rsidR="00661DFE" w:rsidRPr="00661DFE" w:rsidRDefault="00661DFE" w:rsidP="00661DFE"/>
        </w:tc>
        <w:tc>
          <w:tcPr>
            <w:tcW w:w="512" w:type="pct"/>
            <w:vMerge/>
            <w:tcBorders>
              <w:top w:val="single" w:sz="6" w:space="0" w:color="EEEEEE"/>
              <w:left w:val="single" w:sz="6" w:space="0" w:color="EEEEEE"/>
              <w:bottom w:val="single" w:sz="6" w:space="0" w:color="EEEEEE"/>
              <w:right w:val="single" w:sz="6" w:space="0" w:color="EEEEEE"/>
            </w:tcBorders>
            <w:vAlign w:val="center"/>
            <w:hideMark/>
          </w:tcPr>
          <w:p w14:paraId="411E4FD8" w14:textId="77777777" w:rsidR="00661DFE" w:rsidRPr="00661DFE" w:rsidRDefault="00661DFE" w:rsidP="00661DFE"/>
        </w:tc>
        <w:tc>
          <w:tcPr>
            <w:tcW w:w="493" w:type="pct"/>
            <w:vMerge/>
            <w:tcBorders>
              <w:top w:val="single" w:sz="6" w:space="0" w:color="EEEEEE"/>
              <w:left w:val="single" w:sz="6" w:space="0" w:color="EEEEEE"/>
              <w:bottom w:val="single" w:sz="6" w:space="0" w:color="EEEEEE"/>
              <w:right w:val="single" w:sz="6" w:space="0" w:color="EEEEEE"/>
            </w:tcBorders>
            <w:vAlign w:val="center"/>
            <w:hideMark/>
          </w:tcPr>
          <w:p w14:paraId="42E9F0ED" w14:textId="77777777" w:rsidR="00661DFE" w:rsidRPr="00661DFE" w:rsidRDefault="00661DFE" w:rsidP="00661DFE"/>
        </w:tc>
        <w:tc>
          <w:tcPr>
            <w:tcW w:w="488" w:type="pct"/>
            <w:vMerge/>
            <w:tcBorders>
              <w:top w:val="single" w:sz="6" w:space="0" w:color="EEEEEE"/>
              <w:left w:val="single" w:sz="6" w:space="0" w:color="EEEEEE"/>
              <w:bottom w:val="single" w:sz="6" w:space="0" w:color="EEEEEE"/>
              <w:right w:val="single" w:sz="6" w:space="0" w:color="EEEEEE"/>
            </w:tcBorders>
            <w:vAlign w:val="center"/>
            <w:hideMark/>
          </w:tcPr>
          <w:p w14:paraId="23CC9DAC" w14:textId="77777777" w:rsidR="00661DFE" w:rsidRPr="00661DFE" w:rsidRDefault="00661DFE" w:rsidP="00661DFE"/>
        </w:tc>
      </w:tr>
      <w:tr w:rsidR="008E4C74" w:rsidRPr="00661DFE" w14:paraId="49368840" w14:textId="77777777" w:rsidTr="008E4C74">
        <w:tc>
          <w:tcPr>
            <w:tcW w:w="822" w:type="pc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020D0B5B" w14:textId="77777777" w:rsidR="00661DFE" w:rsidRPr="00661DFE" w:rsidRDefault="00661DFE" w:rsidP="00661DFE">
            <w:r w:rsidRPr="00661DFE">
              <w:t>(580 - 650)</w:t>
            </w:r>
          </w:p>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49794BF1" w14:textId="77777777" w:rsidR="00661DFE" w:rsidRPr="00661DFE" w:rsidRDefault="00661DFE" w:rsidP="00661DFE">
            <w:r w:rsidRPr="00661DFE">
              <w:t>Total range</w:t>
            </w:r>
          </w:p>
        </w:tc>
        <w:tc>
          <w:tcPr>
            <w:tcW w:w="556" w:type="pct"/>
            <w:vMerge w:val="restar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4D634AFF" w14:textId="77777777" w:rsidR="00661DFE" w:rsidRPr="00661DFE" w:rsidRDefault="00661DFE" w:rsidP="00661DFE">
            <w:r w:rsidRPr="00661DFE">
              <w:t>RCP4.5</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7540FF6F" w14:textId="77777777" w:rsidR="00661DFE" w:rsidRPr="00661DFE" w:rsidRDefault="00661DFE" w:rsidP="00661DFE">
            <w:r w:rsidRPr="00661DFE">
              <w:t>-38 to 24</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59944D9E" w14:textId="77777777" w:rsidR="00661DFE" w:rsidRPr="00661DFE" w:rsidRDefault="00661DFE" w:rsidP="00661DFE">
            <w:r w:rsidRPr="00661DFE">
              <w:t>-134 to -50</w:t>
            </w:r>
          </w:p>
        </w:tc>
        <w:tc>
          <w:tcPr>
            <w:tcW w:w="508" w:type="pct"/>
            <w:vMerge/>
            <w:tcBorders>
              <w:top w:val="single" w:sz="6" w:space="0" w:color="EEEEEE"/>
              <w:left w:val="single" w:sz="6" w:space="0" w:color="EEEEEE"/>
              <w:bottom w:val="single" w:sz="6" w:space="0" w:color="EEEEEE"/>
              <w:right w:val="single" w:sz="6" w:space="0" w:color="EEEEEE"/>
            </w:tcBorders>
            <w:vAlign w:val="center"/>
            <w:hideMark/>
          </w:tcPr>
          <w:p w14:paraId="29728FD3" w14:textId="77777777" w:rsidR="00661DFE" w:rsidRPr="00661DFE" w:rsidRDefault="00661DFE" w:rsidP="00661DFE"/>
        </w:tc>
        <w:tc>
          <w:tcPr>
            <w:tcW w:w="512" w:type="pct"/>
            <w:vMerge/>
            <w:tcBorders>
              <w:top w:val="single" w:sz="6" w:space="0" w:color="EEEEEE"/>
              <w:left w:val="single" w:sz="6" w:space="0" w:color="EEEEEE"/>
              <w:bottom w:val="single" w:sz="6" w:space="0" w:color="EEEEEE"/>
              <w:right w:val="single" w:sz="6" w:space="0" w:color="EEEEEE"/>
            </w:tcBorders>
            <w:vAlign w:val="center"/>
            <w:hideMark/>
          </w:tcPr>
          <w:p w14:paraId="2B045AEF" w14:textId="77777777" w:rsidR="00661DFE" w:rsidRPr="00661DFE" w:rsidRDefault="00661DFE" w:rsidP="00661DFE"/>
        </w:tc>
        <w:tc>
          <w:tcPr>
            <w:tcW w:w="493" w:type="pct"/>
            <w:vMerge/>
            <w:tcBorders>
              <w:top w:val="single" w:sz="6" w:space="0" w:color="EEEEEE"/>
              <w:left w:val="single" w:sz="6" w:space="0" w:color="EEEEEE"/>
              <w:bottom w:val="single" w:sz="6" w:space="0" w:color="EEEEEE"/>
              <w:right w:val="single" w:sz="6" w:space="0" w:color="EEEEEE"/>
            </w:tcBorders>
            <w:vAlign w:val="center"/>
            <w:hideMark/>
          </w:tcPr>
          <w:p w14:paraId="61214F06" w14:textId="77777777" w:rsidR="00661DFE" w:rsidRPr="00661DFE" w:rsidRDefault="00661DFE" w:rsidP="00661DFE"/>
        </w:tc>
        <w:tc>
          <w:tcPr>
            <w:tcW w:w="488" w:type="pct"/>
            <w:vMerge/>
            <w:tcBorders>
              <w:top w:val="single" w:sz="6" w:space="0" w:color="EEEEEE"/>
              <w:left w:val="single" w:sz="6" w:space="0" w:color="EEEEEE"/>
              <w:bottom w:val="single" w:sz="6" w:space="0" w:color="EEEEEE"/>
              <w:right w:val="single" w:sz="6" w:space="0" w:color="EEEEEE"/>
            </w:tcBorders>
            <w:vAlign w:val="center"/>
            <w:hideMark/>
          </w:tcPr>
          <w:p w14:paraId="55E18EF7" w14:textId="77777777" w:rsidR="00661DFE" w:rsidRPr="00661DFE" w:rsidRDefault="00661DFE" w:rsidP="00661DFE"/>
        </w:tc>
      </w:tr>
      <w:tr w:rsidR="008E4C74" w:rsidRPr="00661DFE" w14:paraId="1C1E8053" w14:textId="77777777" w:rsidTr="008E4C74">
        <w:tc>
          <w:tcPr>
            <w:tcW w:w="822" w:type="pc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4C15D604" w14:textId="77777777" w:rsidR="00661DFE" w:rsidRPr="00661DFE" w:rsidRDefault="00661DFE" w:rsidP="00661DFE">
            <w:r w:rsidRPr="00661DFE">
              <w:t>(650 - 720)</w:t>
            </w:r>
          </w:p>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7CC03E54" w14:textId="77777777" w:rsidR="00661DFE" w:rsidRPr="00661DFE" w:rsidRDefault="00661DFE" w:rsidP="00661DFE">
            <w:r w:rsidRPr="00661DFE">
              <w:t>Total range</w:t>
            </w:r>
          </w:p>
        </w:tc>
        <w:tc>
          <w:tcPr>
            <w:tcW w:w="556" w:type="pct"/>
            <w:vMerge/>
            <w:tcBorders>
              <w:top w:val="single" w:sz="6" w:space="0" w:color="EEEEEE"/>
              <w:left w:val="single" w:sz="6" w:space="0" w:color="EEEEEE"/>
              <w:bottom w:val="single" w:sz="6" w:space="0" w:color="EEEEEE"/>
              <w:right w:val="single" w:sz="6" w:space="0" w:color="EEEEEE"/>
            </w:tcBorders>
            <w:vAlign w:val="center"/>
            <w:hideMark/>
          </w:tcPr>
          <w:p w14:paraId="7624056A" w14:textId="77777777" w:rsidR="00661DFE" w:rsidRPr="00661DFE" w:rsidRDefault="00661DFE" w:rsidP="00661DFE"/>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5EF098BC" w14:textId="7BA8771E" w:rsidR="00661DFE" w:rsidRPr="00661DFE" w:rsidRDefault="00661DFE" w:rsidP="00661DFE">
            <w:r w:rsidRPr="00661DFE">
              <w:t>-11 to 17</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4F204D6C" w14:textId="77777777" w:rsidR="00661DFE" w:rsidRPr="00661DFE" w:rsidRDefault="00661DFE" w:rsidP="00661DFE">
            <w:r w:rsidRPr="00661DFE">
              <w:t>-54 to -21</w:t>
            </w:r>
          </w:p>
        </w:tc>
        <w:tc>
          <w:tcPr>
            <w:tcW w:w="508" w:type="pct"/>
            <w:vMerge/>
            <w:tcBorders>
              <w:top w:val="single" w:sz="6" w:space="0" w:color="EEEEEE"/>
              <w:left w:val="single" w:sz="6" w:space="0" w:color="EEEEEE"/>
              <w:bottom w:val="single" w:sz="6" w:space="0" w:color="EEEEEE"/>
              <w:right w:val="single" w:sz="6" w:space="0" w:color="EEEEEE"/>
            </w:tcBorders>
            <w:vAlign w:val="center"/>
            <w:hideMark/>
          </w:tcPr>
          <w:p w14:paraId="2546FC02" w14:textId="77777777" w:rsidR="00661DFE" w:rsidRPr="00661DFE" w:rsidRDefault="00661DFE" w:rsidP="00661DFE"/>
        </w:tc>
        <w:tc>
          <w:tcPr>
            <w:tcW w:w="512" w:type="pct"/>
            <w:vMerge w:val="restart"/>
            <w:tcBorders>
              <w:top w:val="single" w:sz="6" w:space="0" w:color="EEEEEE"/>
              <w:left w:val="single" w:sz="6" w:space="0" w:color="EEEEEE"/>
              <w:bottom w:val="single" w:sz="6" w:space="0" w:color="EEEEEE"/>
              <w:right w:val="single" w:sz="6" w:space="0" w:color="EEEEEE"/>
            </w:tcBorders>
            <w:shd w:val="clear" w:color="auto" w:fill="29A1BC"/>
            <w:tcMar>
              <w:top w:w="90" w:type="dxa"/>
              <w:left w:w="90" w:type="dxa"/>
              <w:bottom w:w="90" w:type="dxa"/>
              <w:right w:w="90" w:type="dxa"/>
            </w:tcMar>
            <w:hideMark/>
          </w:tcPr>
          <w:p w14:paraId="2F3E8F0D" w14:textId="77777777" w:rsidR="00661DFE" w:rsidRPr="00661DFE" w:rsidRDefault="00661DFE" w:rsidP="00661DFE">
            <w:r w:rsidRPr="00661DFE">
              <w:rPr>
                <w:i/>
                <w:iCs/>
              </w:rPr>
              <w:t>Unlikely</w:t>
            </w:r>
          </w:p>
        </w:tc>
        <w:tc>
          <w:tcPr>
            <w:tcW w:w="493" w:type="pct"/>
            <w:tcBorders>
              <w:top w:val="single" w:sz="6" w:space="0" w:color="EEEEEE"/>
              <w:left w:val="single" w:sz="6" w:space="0" w:color="EEEEEE"/>
              <w:bottom w:val="single" w:sz="6" w:space="0" w:color="EEEEEE"/>
              <w:right w:val="single" w:sz="6" w:space="0" w:color="EEEEEE"/>
            </w:tcBorders>
            <w:shd w:val="clear" w:color="auto" w:fill="DFE0E4"/>
            <w:tcMar>
              <w:top w:w="90" w:type="dxa"/>
              <w:left w:w="90" w:type="dxa"/>
              <w:bottom w:w="90" w:type="dxa"/>
              <w:right w:w="90" w:type="dxa"/>
            </w:tcMar>
            <w:hideMark/>
          </w:tcPr>
          <w:p w14:paraId="0E02B3A7" w14:textId="77777777" w:rsidR="00661DFE" w:rsidRPr="00661DFE" w:rsidRDefault="00661DFE" w:rsidP="00661DFE">
            <w:r w:rsidRPr="00661DFE">
              <w:rPr>
                <w:i/>
                <w:iCs/>
              </w:rPr>
              <w:t>More likely than not</w:t>
            </w:r>
          </w:p>
        </w:tc>
        <w:tc>
          <w:tcPr>
            <w:tcW w:w="488" w:type="pct"/>
            <w:vMerge/>
            <w:tcBorders>
              <w:top w:val="single" w:sz="6" w:space="0" w:color="EEEEEE"/>
              <w:left w:val="single" w:sz="6" w:space="0" w:color="EEEEEE"/>
              <w:bottom w:val="single" w:sz="6" w:space="0" w:color="EEEEEE"/>
              <w:right w:val="single" w:sz="6" w:space="0" w:color="EEEEEE"/>
            </w:tcBorders>
            <w:vAlign w:val="center"/>
            <w:hideMark/>
          </w:tcPr>
          <w:p w14:paraId="18B2BD8D" w14:textId="77777777" w:rsidR="00661DFE" w:rsidRPr="00661DFE" w:rsidRDefault="00661DFE" w:rsidP="00661DFE"/>
        </w:tc>
      </w:tr>
      <w:tr w:rsidR="008E4C74" w:rsidRPr="00661DFE" w14:paraId="3809575C" w14:textId="77777777" w:rsidTr="008E4C74">
        <w:tc>
          <w:tcPr>
            <w:tcW w:w="822" w:type="pc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592DA92C" w14:textId="77777777" w:rsidR="00661DFE" w:rsidRPr="00661DFE" w:rsidRDefault="00661DFE" w:rsidP="00661DFE">
            <w:r w:rsidRPr="00661DFE">
              <w:lastRenderedPageBreak/>
              <w:t>(720 - 1000)</w:t>
            </w:r>
            <w:r w:rsidRPr="00661DFE">
              <w:rPr>
                <w:vertAlign w:val="superscript"/>
              </w:rPr>
              <w:t>b</w:t>
            </w:r>
          </w:p>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47BFDF97" w14:textId="77777777" w:rsidR="00661DFE" w:rsidRPr="00661DFE" w:rsidRDefault="00661DFE" w:rsidP="00661DFE">
            <w:r w:rsidRPr="00661DFE">
              <w:t>Total range</w:t>
            </w:r>
          </w:p>
        </w:tc>
        <w:tc>
          <w:tcPr>
            <w:tcW w:w="556"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26F17F32" w14:textId="77777777" w:rsidR="00661DFE" w:rsidRPr="00661DFE" w:rsidRDefault="00661DFE" w:rsidP="00661DFE">
            <w:r w:rsidRPr="00661DFE">
              <w:t>RCP6.0</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19A964C1" w14:textId="77777777" w:rsidR="00661DFE" w:rsidRPr="00661DFE" w:rsidRDefault="00661DFE" w:rsidP="00661DFE">
            <w:r w:rsidRPr="00661DFE">
              <w:t>18 to 54</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128AED73" w14:textId="77777777" w:rsidR="00661DFE" w:rsidRPr="00661DFE" w:rsidRDefault="00661DFE" w:rsidP="00661DFE">
            <w:r w:rsidRPr="00661DFE">
              <w:t>-7 to 72</w:t>
            </w:r>
          </w:p>
        </w:tc>
        <w:tc>
          <w:tcPr>
            <w:tcW w:w="508" w:type="pct"/>
            <w:vMerge w:val="restart"/>
            <w:tcBorders>
              <w:top w:val="single" w:sz="6" w:space="0" w:color="EEEEEE"/>
              <w:left w:val="single" w:sz="6" w:space="0" w:color="EEEEEE"/>
              <w:bottom w:val="single" w:sz="6" w:space="0" w:color="EEEEEE"/>
              <w:right w:val="single" w:sz="6" w:space="0" w:color="EEEEEE"/>
            </w:tcBorders>
            <w:shd w:val="clear" w:color="auto" w:fill="29A1BC"/>
            <w:tcMar>
              <w:top w:w="90" w:type="dxa"/>
              <w:left w:w="90" w:type="dxa"/>
              <w:bottom w:w="90" w:type="dxa"/>
              <w:right w:w="90" w:type="dxa"/>
            </w:tcMar>
            <w:hideMark/>
          </w:tcPr>
          <w:p w14:paraId="76C40421" w14:textId="77777777" w:rsidR="00661DFE" w:rsidRPr="00661DFE" w:rsidRDefault="00661DFE" w:rsidP="00661DFE">
            <w:r w:rsidRPr="00661DFE">
              <w:rPr>
                <w:i/>
                <w:iCs/>
              </w:rPr>
              <w:t>Unlikely</w:t>
            </w:r>
            <w:r w:rsidRPr="00661DFE">
              <w:rPr>
                <w:i/>
                <w:iCs/>
                <w:vertAlign w:val="superscript"/>
              </w:rPr>
              <w:t>h</w:t>
            </w:r>
          </w:p>
        </w:tc>
        <w:tc>
          <w:tcPr>
            <w:tcW w:w="512" w:type="pct"/>
            <w:vMerge/>
            <w:tcBorders>
              <w:top w:val="single" w:sz="6" w:space="0" w:color="EEEEEE"/>
              <w:left w:val="single" w:sz="6" w:space="0" w:color="EEEEEE"/>
              <w:bottom w:val="single" w:sz="6" w:space="0" w:color="EEEEEE"/>
              <w:right w:val="single" w:sz="6" w:space="0" w:color="EEEEEE"/>
            </w:tcBorders>
            <w:vAlign w:val="center"/>
            <w:hideMark/>
          </w:tcPr>
          <w:p w14:paraId="58DF5E66" w14:textId="77777777" w:rsidR="00661DFE" w:rsidRPr="00661DFE" w:rsidRDefault="00661DFE" w:rsidP="00661DFE"/>
        </w:tc>
        <w:tc>
          <w:tcPr>
            <w:tcW w:w="493"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0C354500" w14:textId="77777777" w:rsidR="00661DFE" w:rsidRPr="00661DFE" w:rsidRDefault="00661DFE" w:rsidP="00661DFE">
            <w:r w:rsidRPr="00661DFE">
              <w:rPr>
                <w:i/>
                <w:iCs/>
              </w:rPr>
              <w:t>More unlikely than likely</w:t>
            </w:r>
          </w:p>
        </w:tc>
        <w:tc>
          <w:tcPr>
            <w:tcW w:w="488" w:type="pct"/>
            <w:vMerge/>
            <w:tcBorders>
              <w:top w:val="single" w:sz="6" w:space="0" w:color="EEEEEE"/>
              <w:left w:val="single" w:sz="6" w:space="0" w:color="EEEEEE"/>
              <w:bottom w:val="single" w:sz="6" w:space="0" w:color="EEEEEE"/>
              <w:right w:val="single" w:sz="6" w:space="0" w:color="EEEEEE"/>
            </w:tcBorders>
            <w:vAlign w:val="center"/>
            <w:hideMark/>
          </w:tcPr>
          <w:p w14:paraId="72A4D196" w14:textId="77777777" w:rsidR="00661DFE" w:rsidRPr="00661DFE" w:rsidRDefault="00661DFE" w:rsidP="00661DFE"/>
        </w:tc>
      </w:tr>
      <w:tr w:rsidR="008E4C74" w:rsidRPr="00661DFE" w14:paraId="460533DF" w14:textId="77777777" w:rsidTr="008E4C74">
        <w:tc>
          <w:tcPr>
            <w:tcW w:w="822" w:type="pct"/>
            <w:tcBorders>
              <w:top w:val="single" w:sz="6" w:space="0" w:color="EEEEEE"/>
              <w:left w:val="single" w:sz="6" w:space="0" w:color="EEEEEE"/>
              <w:bottom w:val="single" w:sz="6" w:space="0" w:color="EEEEEE"/>
              <w:right w:val="single" w:sz="6" w:space="0" w:color="EEEEEE"/>
            </w:tcBorders>
            <w:shd w:val="clear" w:color="auto" w:fill="auto"/>
            <w:tcMar>
              <w:top w:w="90" w:type="dxa"/>
              <w:left w:w="90" w:type="dxa"/>
              <w:bottom w:w="90" w:type="dxa"/>
              <w:right w:w="90" w:type="dxa"/>
            </w:tcMar>
            <w:hideMark/>
          </w:tcPr>
          <w:p w14:paraId="5969459A" w14:textId="77777777" w:rsidR="00661DFE" w:rsidRPr="00661DFE" w:rsidRDefault="00661DFE" w:rsidP="00661DFE">
            <w:r w:rsidRPr="00661DFE">
              <w:t>&gt; 1000</w:t>
            </w:r>
            <w:r w:rsidRPr="00661DFE">
              <w:rPr>
                <w:vertAlign w:val="superscript"/>
              </w:rPr>
              <w:t>b</w:t>
            </w:r>
          </w:p>
        </w:tc>
        <w:tc>
          <w:tcPr>
            <w:tcW w:w="709"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36A01557" w14:textId="77777777" w:rsidR="00661DFE" w:rsidRPr="00661DFE" w:rsidRDefault="00661DFE" w:rsidP="00661DFE">
            <w:r w:rsidRPr="00661DFE">
              <w:t>Total range</w:t>
            </w:r>
          </w:p>
        </w:tc>
        <w:tc>
          <w:tcPr>
            <w:tcW w:w="556"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365F6FC4" w14:textId="77777777" w:rsidR="00661DFE" w:rsidRPr="00661DFE" w:rsidRDefault="00661DFE" w:rsidP="00661DFE">
            <w:r w:rsidRPr="00661DFE">
              <w:t>RCP8.5</w:t>
            </w:r>
          </w:p>
        </w:tc>
        <w:tc>
          <w:tcPr>
            <w:tcW w:w="440"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064F7EC9" w14:textId="77777777" w:rsidR="00661DFE" w:rsidRPr="00661DFE" w:rsidRDefault="00661DFE" w:rsidP="00661DFE">
            <w:r w:rsidRPr="00661DFE">
              <w:t>52 to 95</w:t>
            </w:r>
          </w:p>
        </w:tc>
        <w:tc>
          <w:tcPr>
            <w:tcW w:w="473" w:type="pct"/>
            <w:tcBorders>
              <w:top w:val="single" w:sz="6" w:space="0" w:color="EEEEEE"/>
              <w:left w:val="single" w:sz="6" w:space="0" w:color="EEEEEE"/>
              <w:bottom w:val="single" w:sz="6" w:space="0" w:color="EEEEEE"/>
              <w:right w:val="single" w:sz="6" w:space="0" w:color="EEEEEE"/>
            </w:tcBorders>
            <w:tcMar>
              <w:top w:w="90" w:type="dxa"/>
              <w:left w:w="90" w:type="dxa"/>
              <w:bottom w:w="90" w:type="dxa"/>
              <w:right w:w="90" w:type="dxa"/>
            </w:tcMar>
            <w:hideMark/>
          </w:tcPr>
          <w:p w14:paraId="32BF8A8F" w14:textId="77777777" w:rsidR="00661DFE" w:rsidRPr="00661DFE" w:rsidRDefault="00661DFE" w:rsidP="00661DFE">
            <w:r w:rsidRPr="00661DFE">
              <w:t>74 to 178</w:t>
            </w:r>
          </w:p>
        </w:tc>
        <w:tc>
          <w:tcPr>
            <w:tcW w:w="508" w:type="pct"/>
            <w:vMerge/>
            <w:tcBorders>
              <w:top w:val="single" w:sz="6" w:space="0" w:color="EEEEEE"/>
              <w:left w:val="single" w:sz="6" w:space="0" w:color="EEEEEE"/>
              <w:bottom w:val="single" w:sz="6" w:space="0" w:color="EEEEEE"/>
              <w:right w:val="single" w:sz="6" w:space="0" w:color="EEEEEE"/>
            </w:tcBorders>
            <w:vAlign w:val="center"/>
            <w:hideMark/>
          </w:tcPr>
          <w:p w14:paraId="793369DC" w14:textId="77777777" w:rsidR="00661DFE" w:rsidRPr="00661DFE" w:rsidRDefault="00661DFE" w:rsidP="00661DFE"/>
        </w:tc>
        <w:tc>
          <w:tcPr>
            <w:tcW w:w="512" w:type="pct"/>
            <w:tcBorders>
              <w:top w:val="single" w:sz="6" w:space="0" w:color="EEEEEE"/>
              <w:left w:val="single" w:sz="6" w:space="0" w:color="EEEEEE"/>
              <w:bottom w:val="single" w:sz="6" w:space="0" w:color="EEEEEE"/>
              <w:right w:val="single" w:sz="6" w:space="0" w:color="EEEEEE"/>
            </w:tcBorders>
            <w:shd w:val="clear" w:color="auto" w:fill="4F84B6"/>
            <w:tcMar>
              <w:top w:w="90" w:type="dxa"/>
              <w:left w:w="90" w:type="dxa"/>
              <w:bottom w:w="90" w:type="dxa"/>
              <w:right w:w="90" w:type="dxa"/>
            </w:tcMar>
            <w:hideMark/>
          </w:tcPr>
          <w:p w14:paraId="44711BED" w14:textId="77777777" w:rsidR="00661DFE" w:rsidRPr="00661DFE" w:rsidRDefault="00661DFE" w:rsidP="00661DFE">
            <w:r w:rsidRPr="00661DFE">
              <w:rPr>
                <w:i/>
                <w:iCs/>
              </w:rPr>
              <w:t>Unlikely</w:t>
            </w:r>
            <w:r w:rsidRPr="00661DFE">
              <w:rPr>
                <w:i/>
                <w:iCs/>
                <w:vertAlign w:val="superscript"/>
              </w:rPr>
              <w:t>h</w:t>
            </w:r>
          </w:p>
        </w:tc>
        <w:tc>
          <w:tcPr>
            <w:tcW w:w="493" w:type="pct"/>
            <w:tcBorders>
              <w:top w:val="single" w:sz="6" w:space="0" w:color="EEEEEE"/>
              <w:left w:val="single" w:sz="6" w:space="0" w:color="EEEEEE"/>
              <w:bottom w:val="single" w:sz="6" w:space="0" w:color="EEEEEE"/>
              <w:right w:val="single" w:sz="6" w:space="0" w:color="EEEEEE"/>
            </w:tcBorders>
            <w:shd w:val="clear" w:color="auto" w:fill="4F84B6"/>
            <w:tcMar>
              <w:top w:w="90" w:type="dxa"/>
              <w:left w:w="90" w:type="dxa"/>
              <w:bottom w:w="90" w:type="dxa"/>
              <w:right w:w="90" w:type="dxa"/>
            </w:tcMar>
            <w:hideMark/>
          </w:tcPr>
          <w:p w14:paraId="42492871" w14:textId="77777777" w:rsidR="00661DFE" w:rsidRPr="00661DFE" w:rsidRDefault="00661DFE" w:rsidP="00661DFE">
            <w:r w:rsidRPr="00661DFE">
              <w:rPr>
                <w:i/>
                <w:iCs/>
              </w:rPr>
              <w:t>Unlikely</w:t>
            </w:r>
          </w:p>
        </w:tc>
        <w:tc>
          <w:tcPr>
            <w:tcW w:w="488" w:type="pct"/>
            <w:tcBorders>
              <w:top w:val="single" w:sz="6" w:space="0" w:color="EEEEEE"/>
              <w:left w:val="single" w:sz="6" w:space="0" w:color="EEEEEE"/>
              <w:bottom w:val="single" w:sz="6" w:space="0" w:color="EEEEEE"/>
              <w:right w:val="single" w:sz="6" w:space="0" w:color="EEEEEE"/>
            </w:tcBorders>
            <w:shd w:val="clear" w:color="auto" w:fill="D2E7EC"/>
            <w:tcMar>
              <w:top w:w="90" w:type="dxa"/>
              <w:left w:w="90" w:type="dxa"/>
              <w:bottom w:w="90" w:type="dxa"/>
              <w:right w:w="90" w:type="dxa"/>
            </w:tcMar>
            <w:hideMark/>
          </w:tcPr>
          <w:p w14:paraId="0BA14C9F" w14:textId="77777777" w:rsidR="00661DFE" w:rsidRPr="00661DFE" w:rsidRDefault="00661DFE" w:rsidP="00661DFE">
            <w:r w:rsidRPr="00661DFE">
              <w:rPr>
                <w:i/>
                <w:iCs/>
              </w:rPr>
              <w:t>More unlikely than likely</w:t>
            </w:r>
          </w:p>
        </w:tc>
      </w:tr>
    </w:tbl>
    <w:p w14:paraId="063B4672" w14:textId="585FD623" w:rsidR="00AA22DF" w:rsidRDefault="00661DFE">
      <w:r w:rsidRPr="00661DFE">
        <w:t> </w:t>
      </w:r>
    </w:p>
    <w:p w14:paraId="6FA6DB7F" w14:textId="3B8B680D" w:rsidR="00153114" w:rsidRDefault="00153114">
      <w:r>
        <w:t>-----</w:t>
      </w:r>
    </w:p>
    <w:p w14:paraId="5BF752AE" w14:textId="40B0C419" w:rsidR="00153114" w:rsidRDefault="00153114">
      <w:pPr>
        <w:rPr>
          <w:sz w:val="28"/>
          <w:szCs w:val="28"/>
        </w:rPr>
      </w:pPr>
      <w:r>
        <w:rPr>
          <w:sz w:val="28"/>
          <w:szCs w:val="28"/>
        </w:rPr>
        <w:t>My two-cents:</w:t>
      </w:r>
    </w:p>
    <w:p w14:paraId="5220CE30" w14:textId="61CE2038" w:rsidR="007F3A35" w:rsidRDefault="007F3A35">
      <w:pPr>
        <w:rPr>
          <w:sz w:val="28"/>
          <w:szCs w:val="28"/>
        </w:rPr>
      </w:pPr>
      <w:r w:rsidRPr="00E17340">
        <w:rPr>
          <w:sz w:val="28"/>
          <w:szCs w:val="28"/>
        </w:rPr>
        <w:t>What these charts tell us is that even if every one of the 196 nations met its emissions reduction pledge under the Paris accord  (not a single nation is on course to meet its pledged reduction)</w:t>
      </w:r>
      <w:r w:rsidR="00E17340" w:rsidRPr="00E17340">
        <w:rPr>
          <w:sz w:val="28"/>
          <w:szCs w:val="28"/>
        </w:rPr>
        <w:t>, we still would likely exceed 2C temperature increase. We currently are about 1C above pre-industrial levels and we are seeing polar ice caps melt, global warming, sea level rise, alterations of air and oceanic currents which affects global weather systems and animal migration patterns</w:t>
      </w:r>
      <w:r w:rsidR="005704B9">
        <w:rPr>
          <w:sz w:val="28"/>
          <w:szCs w:val="28"/>
        </w:rPr>
        <w:t>, reduction of</w:t>
      </w:r>
      <w:r w:rsidR="00E17340" w:rsidRPr="00E17340">
        <w:rPr>
          <w:sz w:val="28"/>
          <w:szCs w:val="28"/>
        </w:rPr>
        <w:t xml:space="preserve"> crop productivity</w:t>
      </w:r>
      <w:r w:rsidR="005704B9">
        <w:rPr>
          <w:sz w:val="28"/>
          <w:szCs w:val="28"/>
        </w:rPr>
        <w:t xml:space="preserve"> a</w:t>
      </w:r>
      <w:r w:rsidR="00E17340" w:rsidRPr="00E17340">
        <w:rPr>
          <w:sz w:val="28"/>
          <w:szCs w:val="28"/>
        </w:rPr>
        <w:t>nd the beginning of environmental refugees fleeing failed states. At 2C we would enter the realm of “catastrophe” which we can predict because it has begun. It will just get worse. Much worse.</w:t>
      </w:r>
    </w:p>
    <w:p w14:paraId="33CD6632" w14:textId="11EE8CDE" w:rsidR="00E17340" w:rsidRPr="00E17340" w:rsidRDefault="00E17340">
      <w:pPr>
        <w:rPr>
          <w:sz w:val="28"/>
          <w:szCs w:val="28"/>
        </w:rPr>
      </w:pPr>
      <w:r>
        <w:rPr>
          <w:sz w:val="28"/>
          <w:szCs w:val="28"/>
        </w:rPr>
        <w:t>The good news is, as Al Gore, never tires of telling us, is that we understand the problem, we know what the solutions are (mostly ceasing GHG emissions and moving entirely to non-carbon emitting renewable energy sources) and we have all the technology to move aggressively in the right direction. What we lack is the political will and leadership</w:t>
      </w:r>
      <w:r w:rsidR="005704B9">
        <w:rPr>
          <w:sz w:val="28"/>
          <w:szCs w:val="28"/>
        </w:rPr>
        <w:t xml:space="preserve"> to move in a new direction</w:t>
      </w:r>
      <w:bookmarkStart w:id="0" w:name="_GoBack"/>
      <w:bookmarkEnd w:id="0"/>
      <w:r>
        <w:rPr>
          <w:sz w:val="28"/>
          <w:szCs w:val="28"/>
        </w:rPr>
        <w:t>. But that can be achieved.</w:t>
      </w:r>
    </w:p>
    <w:sectPr w:rsidR="00E17340" w:rsidRPr="00E1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D3"/>
    <w:rsid w:val="00123ED3"/>
    <w:rsid w:val="00153114"/>
    <w:rsid w:val="00156EA4"/>
    <w:rsid w:val="00220C63"/>
    <w:rsid w:val="002460F2"/>
    <w:rsid w:val="00344DEC"/>
    <w:rsid w:val="00551600"/>
    <w:rsid w:val="005704B9"/>
    <w:rsid w:val="005D0466"/>
    <w:rsid w:val="005D2683"/>
    <w:rsid w:val="00661DFE"/>
    <w:rsid w:val="006F729D"/>
    <w:rsid w:val="007A2687"/>
    <w:rsid w:val="007A7D2D"/>
    <w:rsid w:val="007F3A35"/>
    <w:rsid w:val="008E4C74"/>
    <w:rsid w:val="00A10CD2"/>
    <w:rsid w:val="00A71C37"/>
    <w:rsid w:val="00AA22DF"/>
    <w:rsid w:val="00B12AA0"/>
    <w:rsid w:val="00BF3D75"/>
    <w:rsid w:val="00C90A2A"/>
    <w:rsid w:val="00D52F44"/>
    <w:rsid w:val="00DB1CD1"/>
    <w:rsid w:val="00E17340"/>
    <w:rsid w:val="00E31584"/>
    <w:rsid w:val="00F6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07AD"/>
  <w15:chartTrackingRefBased/>
  <w15:docId w15:val="{2851A863-3532-42EE-9102-684A1916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37"/>
    <w:rPr>
      <w:rFonts w:ascii="Segoe UI" w:hAnsi="Segoe UI" w:cs="Segoe UI"/>
      <w:sz w:val="18"/>
      <w:szCs w:val="18"/>
    </w:rPr>
  </w:style>
  <w:style w:type="character" w:styleId="Hyperlink">
    <w:name w:val="Hyperlink"/>
    <w:basedOn w:val="DefaultParagraphFont"/>
    <w:uiPriority w:val="99"/>
    <w:unhideWhenUsed/>
    <w:rsid w:val="00661DFE"/>
    <w:rPr>
      <w:color w:val="0563C1" w:themeColor="hyperlink"/>
      <w:u w:val="single"/>
    </w:rPr>
  </w:style>
  <w:style w:type="character" w:styleId="UnresolvedMention">
    <w:name w:val="Unresolved Mention"/>
    <w:basedOn w:val="DefaultParagraphFont"/>
    <w:uiPriority w:val="99"/>
    <w:semiHidden/>
    <w:unhideWhenUsed/>
    <w:rsid w:val="0066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0044">
      <w:bodyDiv w:val="1"/>
      <w:marLeft w:val="0"/>
      <w:marRight w:val="0"/>
      <w:marTop w:val="0"/>
      <w:marBottom w:val="0"/>
      <w:divBdr>
        <w:top w:val="none" w:sz="0" w:space="0" w:color="auto"/>
        <w:left w:val="none" w:sz="0" w:space="0" w:color="auto"/>
        <w:bottom w:val="none" w:sz="0" w:space="0" w:color="auto"/>
        <w:right w:val="none" w:sz="0" w:space="0" w:color="auto"/>
      </w:divBdr>
    </w:div>
    <w:div w:id="589390935">
      <w:bodyDiv w:val="1"/>
      <w:marLeft w:val="0"/>
      <w:marRight w:val="0"/>
      <w:marTop w:val="0"/>
      <w:marBottom w:val="0"/>
      <w:divBdr>
        <w:top w:val="none" w:sz="0" w:space="0" w:color="auto"/>
        <w:left w:val="none" w:sz="0" w:space="0" w:color="auto"/>
        <w:bottom w:val="none" w:sz="0" w:space="0" w:color="auto"/>
        <w:right w:val="none" w:sz="0" w:space="0" w:color="auto"/>
      </w:divBdr>
      <w:divsChild>
        <w:div w:id="871461107">
          <w:marLeft w:val="0"/>
          <w:marRight w:val="0"/>
          <w:marTop w:val="0"/>
          <w:marBottom w:val="0"/>
          <w:divBdr>
            <w:top w:val="none" w:sz="0" w:space="0" w:color="auto"/>
            <w:left w:val="none" w:sz="0" w:space="0" w:color="auto"/>
            <w:bottom w:val="none" w:sz="0" w:space="0" w:color="auto"/>
            <w:right w:val="none" w:sz="0" w:space="0" w:color="auto"/>
          </w:divBdr>
          <w:divsChild>
            <w:div w:id="1186674957">
              <w:marLeft w:val="1428"/>
              <w:marRight w:val="158"/>
              <w:marTop w:val="0"/>
              <w:marBottom w:val="0"/>
              <w:divBdr>
                <w:top w:val="none" w:sz="0" w:space="0" w:color="auto"/>
                <w:left w:val="none" w:sz="0" w:space="0" w:color="auto"/>
                <w:bottom w:val="none" w:sz="0" w:space="0" w:color="auto"/>
                <w:right w:val="none" w:sz="0" w:space="0" w:color="auto"/>
              </w:divBdr>
              <w:divsChild>
                <w:div w:id="1119103251">
                  <w:marLeft w:val="0"/>
                  <w:marRight w:val="0"/>
                  <w:marTop w:val="0"/>
                  <w:marBottom w:val="0"/>
                  <w:divBdr>
                    <w:top w:val="none" w:sz="0" w:space="0" w:color="auto"/>
                    <w:left w:val="none" w:sz="0" w:space="0" w:color="auto"/>
                    <w:bottom w:val="none" w:sz="0" w:space="0" w:color="auto"/>
                    <w:right w:val="none" w:sz="0" w:space="0" w:color="auto"/>
                  </w:divBdr>
                  <w:divsChild>
                    <w:div w:id="1478495628">
                      <w:marLeft w:val="150"/>
                      <w:marRight w:val="0"/>
                      <w:marTop w:val="0"/>
                      <w:marBottom w:val="0"/>
                      <w:divBdr>
                        <w:top w:val="none" w:sz="0" w:space="0" w:color="auto"/>
                        <w:left w:val="none" w:sz="0" w:space="0" w:color="auto"/>
                        <w:bottom w:val="none" w:sz="0" w:space="0" w:color="auto"/>
                        <w:right w:val="none" w:sz="0" w:space="0" w:color="auto"/>
                      </w:divBdr>
                      <w:divsChild>
                        <w:div w:id="1129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3339">
          <w:marLeft w:val="0"/>
          <w:marRight w:val="0"/>
          <w:marTop w:val="0"/>
          <w:marBottom w:val="0"/>
          <w:divBdr>
            <w:top w:val="none" w:sz="0" w:space="0" w:color="auto"/>
            <w:left w:val="none" w:sz="0" w:space="0" w:color="auto"/>
            <w:bottom w:val="none" w:sz="0" w:space="0" w:color="auto"/>
            <w:right w:val="none" w:sz="0" w:space="0" w:color="auto"/>
          </w:divBdr>
          <w:divsChild>
            <w:div w:id="1455715839">
              <w:marLeft w:val="1428"/>
              <w:marRight w:val="158"/>
              <w:marTop w:val="0"/>
              <w:marBottom w:val="300"/>
              <w:divBdr>
                <w:top w:val="none" w:sz="0" w:space="0" w:color="auto"/>
                <w:left w:val="none" w:sz="0" w:space="0" w:color="auto"/>
                <w:bottom w:val="none" w:sz="0" w:space="0" w:color="auto"/>
                <w:right w:val="none" w:sz="0" w:space="0" w:color="auto"/>
              </w:divBdr>
            </w:div>
          </w:divsChild>
        </w:div>
        <w:div w:id="1822847885">
          <w:marLeft w:val="0"/>
          <w:marRight w:val="0"/>
          <w:marTop w:val="0"/>
          <w:marBottom w:val="0"/>
          <w:divBdr>
            <w:top w:val="none" w:sz="0" w:space="0" w:color="auto"/>
            <w:left w:val="none" w:sz="0" w:space="0" w:color="auto"/>
            <w:bottom w:val="none" w:sz="0" w:space="0" w:color="auto"/>
            <w:right w:val="none" w:sz="0" w:space="0" w:color="auto"/>
          </w:divBdr>
          <w:divsChild>
            <w:div w:id="635374942">
              <w:marLeft w:val="158"/>
              <w:marRight w:val="158"/>
              <w:marTop w:val="0"/>
              <w:marBottom w:val="0"/>
              <w:divBdr>
                <w:top w:val="none" w:sz="0" w:space="0" w:color="auto"/>
                <w:left w:val="none" w:sz="0" w:space="0" w:color="auto"/>
                <w:bottom w:val="none" w:sz="0" w:space="0" w:color="auto"/>
                <w:right w:val="none" w:sz="0" w:space="0" w:color="auto"/>
              </w:divBdr>
              <w:divsChild>
                <w:div w:id="8634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6689">
      <w:bodyDiv w:val="1"/>
      <w:marLeft w:val="0"/>
      <w:marRight w:val="0"/>
      <w:marTop w:val="0"/>
      <w:marBottom w:val="0"/>
      <w:divBdr>
        <w:top w:val="none" w:sz="0" w:space="0" w:color="auto"/>
        <w:left w:val="none" w:sz="0" w:space="0" w:color="auto"/>
        <w:bottom w:val="none" w:sz="0" w:space="0" w:color="auto"/>
        <w:right w:val="none" w:sz="0" w:space="0" w:color="auto"/>
      </w:divBdr>
      <w:divsChild>
        <w:div w:id="149835369">
          <w:marLeft w:val="0"/>
          <w:marRight w:val="0"/>
          <w:marTop w:val="0"/>
          <w:marBottom w:val="0"/>
          <w:divBdr>
            <w:top w:val="single" w:sz="12" w:space="23" w:color="FFFFFF"/>
            <w:left w:val="single" w:sz="12" w:space="23" w:color="FFFFFF"/>
            <w:bottom w:val="single" w:sz="12" w:space="8" w:color="FFFFFF"/>
            <w:right w:val="single" w:sz="12" w:space="23" w:color="FFFFFF"/>
          </w:divBdr>
        </w:div>
      </w:divsChild>
    </w:div>
    <w:div w:id="1307050715">
      <w:bodyDiv w:val="1"/>
      <w:marLeft w:val="0"/>
      <w:marRight w:val="0"/>
      <w:marTop w:val="0"/>
      <w:marBottom w:val="0"/>
      <w:divBdr>
        <w:top w:val="none" w:sz="0" w:space="0" w:color="auto"/>
        <w:left w:val="none" w:sz="0" w:space="0" w:color="auto"/>
        <w:bottom w:val="none" w:sz="0" w:space="0" w:color="auto"/>
        <w:right w:val="none" w:sz="0" w:space="0" w:color="auto"/>
      </w:divBdr>
    </w:div>
    <w:div w:id="1519076870">
      <w:bodyDiv w:val="1"/>
      <w:marLeft w:val="0"/>
      <w:marRight w:val="0"/>
      <w:marTop w:val="0"/>
      <w:marBottom w:val="0"/>
      <w:divBdr>
        <w:top w:val="none" w:sz="0" w:space="0" w:color="auto"/>
        <w:left w:val="none" w:sz="0" w:space="0" w:color="auto"/>
        <w:bottom w:val="none" w:sz="0" w:space="0" w:color="auto"/>
        <w:right w:val="none" w:sz="0" w:space="0" w:color="auto"/>
      </w:divBdr>
    </w:div>
    <w:div w:id="1788310948">
      <w:bodyDiv w:val="1"/>
      <w:marLeft w:val="0"/>
      <w:marRight w:val="0"/>
      <w:marTop w:val="0"/>
      <w:marBottom w:val="0"/>
      <w:divBdr>
        <w:top w:val="none" w:sz="0" w:space="0" w:color="auto"/>
        <w:left w:val="none" w:sz="0" w:space="0" w:color="auto"/>
        <w:bottom w:val="none" w:sz="0" w:space="0" w:color="auto"/>
        <w:right w:val="none" w:sz="0" w:space="0" w:color="auto"/>
      </w:divBdr>
    </w:div>
    <w:div w:id="1855069630">
      <w:bodyDiv w:val="1"/>
      <w:marLeft w:val="0"/>
      <w:marRight w:val="0"/>
      <w:marTop w:val="0"/>
      <w:marBottom w:val="0"/>
      <w:divBdr>
        <w:top w:val="none" w:sz="0" w:space="0" w:color="auto"/>
        <w:left w:val="none" w:sz="0" w:space="0" w:color="auto"/>
        <w:bottom w:val="none" w:sz="0" w:space="0" w:color="auto"/>
        <w:right w:val="none" w:sz="0" w:space="0" w:color="auto"/>
      </w:divBdr>
    </w:div>
    <w:div w:id="1954626595">
      <w:bodyDiv w:val="1"/>
      <w:marLeft w:val="0"/>
      <w:marRight w:val="0"/>
      <w:marTop w:val="0"/>
      <w:marBottom w:val="0"/>
      <w:divBdr>
        <w:top w:val="none" w:sz="0" w:space="0" w:color="auto"/>
        <w:left w:val="none" w:sz="0" w:space="0" w:color="auto"/>
        <w:bottom w:val="none" w:sz="0" w:space="0" w:color="auto"/>
        <w:right w:val="none" w:sz="0" w:space="0" w:color="auto"/>
      </w:divBdr>
      <w:divsChild>
        <w:div w:id="188571376">
          <w:marLeft w:val="0"/>
          <w:marRight w:val="0"/>
          <w:marTop w:val="0"/>
          <w:marBottom w:val="0"/>
          <w:divBdr>
            <w:top w:val="none" w:sz="0" w:space="0" w:color="auto"/>
            <w:left w:val="none" w:sz="0" w:space="0" w:color="auto"/>
            <w:bottom w:val="none" w:sz="0" w:space="0" w:color="auto"/>
            <w:right w:val="none" w:sz="0" w:space="0" w:color="auto"/>
          </w:divBdr>
          <w:divsChild>
            <w:div w:id="1122728255">
              <w:marLeft w:val="1428"/>
              <w:marRight w:val="158"/>
              <w:marTop w:val="0"/>
              <w:marBottom w:val="0"/>
              <w:divBdr>
                <w:top w:val="none" w:sz="0" w:space="0" w:color="auto"/>
                <w:left w:val="none" w:sz="0" w:space="0" w:color="auto"/>
                <w:bottom w:val="none" w:sz="0" w:space="0" w:color="auto"/>
                <w:right w:val="none" w:sz="0" w:space="0" w:color="auto"/>
              </w:divBdr>
              <w:divsChild>
                <w:div w:id="1314984850">
                  <w:marLeft w:val="0"/>
                  <w:marRight w:val="0"/>
                  <w:marTop w:val="0"/>
                  <w:marBottom w:val="0"/>
                  <w:divBdr>
                    <w:top w:val="none" w:sz="0" w:space="0" w:color="auto"/>
                    <w:left w:val="none" w:sz="0" w:space="0" w:color="auto"/>
                    <w:bottom w:val="none" w:sz="0" w:space="0" w:color="auto"/>
                    <w:right w:val="none" w:sz="0" w:space="0" w:color="auto"/>
                  </w:divBdr>
                  <w:divsChild>
                    <w:div w:id="1224028135">
                      <w:marLeft w:val="150"/>
                      <w:marRight w:val="0"/>
                      <w:marTop w:val="0"/>
                      <w:marBottom w:val="0"/>
                      <w:divBdr>
                        <w:top w:val="none" w:sz="0" w:space="0" w:color="auto"/>
                        <w:left w:val="none" w:sz="0" w:space="0" w:color="auto"/>
                        <w:bottom w:val="none" w:sz="0" w:space="0" w:color="auto"/>
                        <w:right w:val="none" w:sz="0" w:space="0" w:color="auto"/>
                      </w:divBdr>
                      <w:divsChild>
                        <w:div w:id="9700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35113">
          <w:marLeft w:val="0"/>
          <w:marRight w:val="0"/>
          <w:marTop w:val="0"/>
          <w:marBottom w:val="0"/>
          <w:divBdr>
            <w:top w:val="none" w:sz="0" w:space="0" w:color="auto"/>
            <w:left w:val="none" w:sz="0" w:space="0" w:color="auto"/>
            <w:bottom w:val="none" w:sz="0" w:space="0" w:color="auto"/>
            <w:right w:val="none" w:sz="0" w:space="0" w:color="auto"/>
          </w:divBdr>
          <w:divsChild>
            <w:div w:id="825391863">
              <w:marLeft w:val="1428"/>
              <w:marRight w:val="158"/>
              <w:marTop w:val="0"/>
              <w:marBottom w:val="300"/>
              <w:divBdr>
                <w:top w:val="none" w:sz="0" w:space="0" w:color="auto"/>
                <w:left w:val="none" w:sz="0" w:space="0" w:color="auto"/>
                <w:bottom w:val="none" w:sz="0" w:space="0" w:color="auto"/>
                <w:right w:val="none" w:sz="0" w:space="0" w:color="auto"/>
              </w:divBdr>
            </w:div>
          </w:divsChild>
        </w:div>
        <w:div w:id="160896401">
          <w:marLeft w:val="0"/>
          <w:marRight w:val="0"/>
          <w:marTop w:val="0"/>
          <w:marBottom w:val="0"/>
          <w:divBdr>
            <w:top w:val="none" w:sz="0" w:space="0" w:color="auto"/>
            <w:left w:val="none" w:sz="0" w:space="0" w:color="auto"/>
            <w:bottom w:val="none" w:sz="0" w:space="0" w:color="auto"/>
            <w:right w:val="none" w:sz="0" w:space="0" w:color="auto"/>
          </w:divBdr>
          <w:divsChild>
            <w:div w:id="262151087">
              <w:marLeft w:val="158"/>
              <w:marRight w:val="158"/>
              <w:marTop w:val="0"/>
              <w:marBottom w:val="0"/>
              <w:divBdr>
                <w:top w:val="none" w:sz="0" w:space="0" w:color="auto"/>
                <w:left w:val="none" w:sz="0" w:space="0" w:color="auto"/>
                <w:bottom w:val="none" w:sz="0" w:space="0" w:color="auto"/>
                <w:right w:val="none" w:sz="0" w:space="0" w:color="auto"/>
              </w:divBdr>
              <w:divsChild>
                <w:div w:id="10874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5-syr.ipcc.ch/topic_summary.php" TargetMode="External"/><Relationship Id="rId13" Type="http://schemas.openxmlformats.org/officeDocument/2006/relationships/hyperlink" Target="https://ar5-syr.ipcc.ch/topic_pathways.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r5-syr.ipcc.ch/topic_observedchanges.php" TargetMode="External"/><Relationship Id="rId4" Type="http://schemas.openxmlformats.org/officeDocument/2006/relationships/customXml" Target="../customXml/item4.xml"/><Relationship Id="rId9" Type="http://schemas.openxmlformats.org/officeDocument/2006/relationships/hyperlink" Target="https://ar5-syr.ipcc.ch/topic_summar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C368804BC9A3648806389BDA82A2CFA" ma:contentTypeVersion="35" ma:contentTypeDescription="Create a new document." ma:contentTypeScope="" ma:versionID="fb3f17ca6ac5195dd321f61fe997c12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b489ee6-2a1a-454b-b8aa-a578c758f047" xmlns:ns7="b40b097d-3ec1-4125-a878-f1bf121e6cc1" targetNamespace="http://schemas.microsoft.com/office/2006/metadata/properties" ma:root="true" ma:fieldsID="3203fe060dd84dbacb7eee4577b2b950" ns1:_="" ns3:_="" ns4:_="" ns5:_="" ns6:_="" ns7:_="">
    <xsd:import namespace="http://schemas.microsoft.com/sharepoint/v3"/>
    <xsd:import namespace="4ffa91fb-a0ff-4ac5-b2db-65c790d184a4"/>
    <xsd:import namespace="http://schemas.microsoft.com/sharepoint.v3"/>
    <xsd:import namespace="http://schemas.microsoft.com/sharepoint/v3/fields"/>
    <xsd:import namespace="fb489ee6-2a1a-454b-b8aa-a578c758f047"/>
    <xsd:import namespace="b40b097d-3ec1-4125-a878-f1bf121e6c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7:MediaServiceMetadata" minOccurs="0"/>
                <xsd:element ref="ns7:MediaServiceFastMetadata" minOccurs="0"/>
                <xsd:element ref="ns6:SharedWithDetails" minOccurs="0"/>
                <xsd:element ref="ns6:SharingHintHash" minOccurs="0"/>
                <xsd:element ref="ns6:Records_x0020_Status" minOccurs="0"/>
                <xsd:element ref="ns6:Records_x0020_Date" minOccurs="0"/>
                <xsd:element ref="ns7:MediaServiceAutoKeyPoints" minOccurs="0"/>
                <xsd:element ref="ns7:MediaServiceKeyPoints" minOccurs="0"/>
                <xsd:element ref="ns7:MediaServiceDateTaken" minOccurs="0"/>
                <xsd:element ref="ns7:MediaServiceAutoTags" minOccurs="0"/>
                <xsd:element ref="ns7:MediaServiceGenerationTime" minOccurs="0"/>
                <xsd:element ref="ns7:MediaServiceEventHashCode"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8f43d8a-d610-4a92-8596-18f560b35edf}" ma:internalName="TaxCatchAllLabel" ma:readOnly="true" ma:showField="CatchAllDataLabel" ma:web="fb489ee6-2a1a-454b-b8aa-a578c758f0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8f43d8a-d610-4a92-8596-18f560b35edf}" ma:internalName="TaxCatchAll" ma:showField="CatchAllData" ma:web="fb489ee6-2a1a-454b-b8aa-a578c758f0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89ee6-2a1a-454b-b8aa-a578c758f04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0b097d-3ec1-4125-a878-f1bf121e6cc1"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fb489ee6-2a1a-454b-b8aa-a578c758f047" xsi:nil="true"/>
    <Record xmlns="4ffa91fb-a0ff-4ac5-b2db-65c790d184a4">Shared</Record>
    <Rights xmlns="4ffa91fb-a0ff-4ac5-b2db-65c790d184a4" xsi:nil="true"/>
    <Document_x0020_Creation_x0020_Date xmlns="4ffa91fb-a0ff-4ac5-b2db-65c790d184a4">2020-04-16T20:00:51+00:00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fb489ee6-2a1a-454b-b8aa-a578c758f047">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67D3B70-FEE3-420E-A079-E5289AF4B288}">
  <ds:schemaRefs>
    <ds:schemaRef ds:uri="http://schemas.microsoft.com/sharepoint/v3/contenttype/forms"/>
  </ds:schemaRefs>
</ds:datastoreItem>
</file>

<file path=customXml/itemProps2.xml><?xml version="1.0" encoding="utf-8"?>
<ds:datastoreItem xmlns:ds="http://schemas.openxmlformats.org/officeDocument/2006/customXml" ds:itemID="{6A4400DA-CC4A-4172-97AE-3E6CD789B9F0}">
  <ds:schemaRefs>
    <ds:schemaRef ds:uri="Microsoft.SharePoint.Taxonomy.ContentTypeSync"/>
  </ds:schemaRefs>
</ds:datastoreItem>
</file>

<file path=customXml/itemProps3.xml><?xml version="1.0" encoding="utf-8"?>
<ds:datastoreItem xmlns:ds="http://schemas.openxmlformats.org/officeDocument/2006/customXml" ds:itemID="{31841DC9-A758-4A18-9C82-73764CC9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b489ee6-2a1a-454b-b8aa-a578c758f047"/>
    <ds:schemaRef ds:uri="b40b097d-3ec1-4125-a878-f1bf121e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99B45-1A31-4B31-8DFF-272E852A8DA7}">
  <ds:schemaRefs>
    <ds:schemaRef ds:uri="http://schemas.microsoft.com/sharepoint/v3"/>
    <ds:schemaRef ds:uri="b40b097d-3ec1-4125-a878-f1bf121e6cc1"/>
    <ds:schemaRef ds:uri="http://purl.org/dc/terms/"/>
    <ds:schemaRef ds:uri="http://schemas.microsoft.com/office/infopath/2007/PartnerControls"/>
    <ds:schemaRef ds:uri="http://schemas.microsoft.com/office/2006/documentManagement/types"/>
    <ds:schemaRef ds:uri="fb489ee6-2a1a-454b-b8aa-a578c758f047"/>
    <ds:schemaRef ds:uri="http://schemas.openxmlformats.org/package/2006/metadata/core-properties"/>
    <ds:schemaRef ds:uri="http://purl.org/dc/elements/1.1/"/>
    <ds:schemaRef ds:uri="http://schemas.microsoft.com/office/2006/metadata/properti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Carl</dc:creator>
  <cp:keywords/>
  <dc:description/>
  <cp:lastModifiedBy>Howard, Carl</cp:lastModifiedBy>
  <cp:revision>23</cp:revision>
  <dcterms:created xsi:type="dcterms:W3CDTF">2020-04-16T19:59:00Z</dcterms:created>
  <dcterms:modified xsi:type="dcterms:W3CDTF">2020-04-19T15:47:00Z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0x0101001C368804BC9A3648806389BDA82A2CFA</vt:lpwstr>
  </property>
</Properties>
</file>